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C13" w:rsidRDefault="00A37F39" w:rsidP="00A37F39">
      <w:pPr>
        <w:spacing w:after="0"/>
        <w:jc w:val="center"/>
        <w:rPr>
          <w:rFonts w:ascii="Times New Roman" w:hAnsi="Times New Roman" w:cs="Times New Roman"/>
        </w:rPr>
      </w:pPr>
      <w:r>
        <w:rPr>
          <w:rFonts w:ascii="Times New Roman" w:hAnsi="Times New Roman" w:cs="Times New Roman"/>
        </w:rPr>
        <w:t>Economic Empowerment of Adolescent Girls (EPAG) Project</w:t>
      </w:r>
    </w:p>
    <w:p w:rsidR="00A37F39" w:rsidRDefault="00A37F39" w:rsidP="00A37F39">
      <w:pPr>
        <w:spacing w:after="0"/>
        <w:jc w:val="center"/>
        <w:rPr>
          <w:rFonts w:ascii="Times New Roman" w:hAnsi="Times New Roman" w:cs="Times New Roman"/>
        </w:rPr>
      </w:pPr>
      <w:r>
        <w:rPr>
          <w:rFonts w:ascii="Times New Roman" w:hAnsi="Times New Roman" w:cs="Times New Roman"/>
        </w:rPr>
        <w:t>Government of Liberia, Nike Foundation and World Bank</w:t>
      </w:r>
    </w:p>
    <w:p w:rsidR="00A37F39" w:rsidRDefault="00A37F39" w:rsidP="00A37F39">
      <w:pPr>
        <w:spacing w:after="0"/>
        <w:jc w:val="center"/>
        <w:rPr>
          <w:rFonts w:ascii="Times New Roman" w:hAnsi="Times New Roman" w:cs="Times New Roman"/>
        </w:rPr>
      </w:pPr>
      <w:r>
        <w:rPr>
          <w:rFonts w:ascii="Times New Roman" w:hAnsi="Times New Roman" w:cs="Times New Roman"/>
        </w:rPr>
        <w:t>Concept Note for an Impact Evaluation of the EPAG Project</w:t>
      </w:r>
    </w:p>
    <w:p w:rsidR="00A37F39" w:rsidRDefault="00A37F39" w:rsidP="00A37F39">
      <w:pPr>
        <w:spacing w:after="0"/>
        <w:jc w:val="center"/>
        <w:rPr>
          <w:rFonts w:ascii="Times New Roman" w:hAnsi="Times New Roman" w:cs="Times New Roman"/>
        </w:rPr>
      </w:pPr>
      <w:r>
        <w:rPr>
          <w:rFonts w:ascii="Times New Roman" w:hAnsi="Times New Roman" w:cs="Times New Roman"/>
        </w:rPr>
        <w:t>20 September 2009</w:t>
      </w:r>
    </w:p>
    <w:p w:rsidR="00A37F39" w:rsidRDefault="00A37F39" w:rsidP="00092C13">
      <w:pPr>
        <w:spacing w:after="0"/>
        <w:rPr>
          <w:rFonts w:ascii="Times New Roman" w:hAnsi="Times New Roman" w:cs="Times New Roman"/>
          <w:b/>
        </w:rPr>
      </w:pPr>
    </w:p>
    <w:p w:rsidR="00092C13" w:rsidRPr="00092C13" w:rsidRDefault="00A37F39" w:rsidP="00092C13">
      <w:pPr>
        <w:spacing w:after="0"/>
        <w:rPr>
          <w:rFonts w:ascii="Times New Roman" w:hAnsi="Times New Roman" w:cs="Times New Roman"/>
          <w:b/>
        </w:rPr>
      </w:pPr>
      <w:r>
        <w:rPr>
          <w:rFonts w:ascii="Times New Roman" w:hAnsi="Times New Roman" w:cs="Times New Roman"/>
          <w:b/>
        </w:rPr>
        <w:t>Introduction</w:t>
      </w:r>
    </w:p>
    <w:p w:rsidR="000563BA" w:rsidRPr="000563BA" w:rsidRDefault="00092C13" w:rsidP="000563BA">
      <w:pPr>
        <w:autoSpaceDE w:val="0"/>
        <w:autoSpaceDN w:val="0"/>
        <w:adjustRightInd w:val="0"/>
        <w:rPr>
          <w:rFonts w:ascii="Times New Roman" w:hAnsi="Times New Roman"/>
        </w:rPr>
      </w:pPr>
      <w:r w:rsidRPr="000563BA">
        <w:rPr>
          <w:rFonts w:ascii="Times New Roman" w:hAnsi="Times New Roman" w:cs="Times New Roman"/>
        </w:rPr>
        <w:t xml:space="preserve">The Government of the Republic of Liberia, together with the World Bank and the Nike Foundation, has designed a project to enhance the economic empowerment of </w:t>
      </w:r>
      <w:r w:rsidR="00A37F39" w:rsidRPr="000563BA">
        <w:rPr>
          <w:rFonts w:ascii="Times New Roman" w:hAnsi="Times New Roman" w:cs="Times New Roman"/>
        </w:rPr>
        <w:t>adolescent girls and young women</w:t>
      </w:r>
      <w:r w:rsidRPr="000563BA">
        <w:rPr>
          <w:rFonts w:ascii="Times New Roman" w:hAnsi="Times New Roman" w:cs="Times New Roman"/>
        </w:rPr>
        <w:t xml:space="preserve"> in Liberia.  </w:t>
      </w:r>
      <w:r w:rsidRPr="000563BA">
        <w:rPr>
          <w:rFonts w:ascii="Times New Roman" w:hAnsi="Times New Roman" w:cs="Times New Roman"/>
          <w:lang w:val="en-GB"/>
        </w:rPr>
        <w:t>The</w:t>
      </w:r>
      <w:r w:rsidR="00A37F39" w:rsidRPr="000563BA">
        <w:rPr>
          <w:rFonts w:ascii="Times New Roman" w:hAnsi="Times New Roman" w:cs="Times New Roman"/>
          <w:lang w:val="en-GB"/>
        </w:rPr>
        <w:t xml:space="preserve"> EPAG</w:t>
      </w:r>
      <w:r w:rsidRPr="000563BA">
        <w:rPr>
          <w:rFonts w:ascii="Times New Roman" w:hAnsi="Times New Roman" w:cs="Times New Roman"/>
          <w:lang w:val="en-GB"/>
        </w:rPr>
        <w:t xml:space="preserve"> project will (1) develop the capacity of young women to take advantage of opportunities for entrepreneurial activities in the small-scale private sector, and (2) meet the demand for skilled or semi-skilled labor from public- or private-sector firms.</w:t>
      </w:r>
      <w:r w:rsidR="00A37F39" w:rsidRPr="000563BA">
        <w:rPr>
          <w:rFonts w:ascii="Times New Roman" w:hAnsi="Times New Roman" w:cs="Times New Roman"/>
          <w:lang w:val="en-GB"/>
        </w:rPr>
        <w:t xml:space="preserve"> The EPAG project is part of a larger Bank-led Adolescent Girls I</w:t>
      </w:r>
      <w:r w:rsidR="000563BA">
        <w:rPr>
          <w:rFonts w:ascii="Times New Roman" w:hAnsi="Times New Roman" w:cs="Times New Roman"/>
          <w:lang w:val="en-GB"/>
        </w:rPr>
        <w:t xml:space="preserve">nitiative (AGI), which seeks </w:t>
      </w:r>
      <w:r w:rsidR="000563BA" w:rsidRPr="000563BA">
        <w:rPr>
          <w:rFonts w:ascii="Times New Roman" w:hAnsi="Times New Roman"/>
        </w:rPr>
        <w:t xml:space="preserve">to promote the economic empowerment of adolescent girls and young women in five low-income and post-conflict countries (Afghanistan, Liberia, Nepal, Rwanda, and South Sudan). All the projects in the AGI offer training and mentorship to facilitate young women’s transition to work and share a number of common characteristics, </w:t>
      </w:r>
      <w:r w:rsidR="000563BA">
        <w:rPr>
          <w:rFonts w:ascii="Times New Roman" w:hAnsi="Times New Roman"/>
        </w:rPr>
        <w:t>including</w:t>
      </w:r>
      <w:r w:rsidR="000563BA" w:rsidRPr="000563BA">
        <w:rPr>
          <w:rFonts w:ascii="Times New Roman" w:hAnsi="Times New Roman"/>
        </w:rPr>
        <w:t xml:space="preserve"> rigorous impact evaluations. These programs are seen as pilots in which to experiment with innovative approaches, measure the results, and provide quantitative evidence for possible scaling-up of similar interventions in the future. </w:t>
      </w:r>
    </w:p>
    <w:p w:rsidR="000563BA" w:rsidRPr="000563BA" w:rsidRDefault="005A2905" w:rsidP="000563BA">
      <w:pPr>
        <w:autoSpaceDE w:val="0"/>
        <w:autoSpaceDN w:val="0"/>
        <w:adjustRightInd w:val="0"/>
        <w:spacing w:after="0"/>
        <w:rPr>
          <w:rFonts w:ascii="Times New Roman" w:hAnsi="Times New Roman"/>
        </w:rPr>
      </w:pPr>
      <w:r>
        <w:rPr>
          <w:rFonts w:ascii="Times New Roman" w:hAnsi="Times New Roman"/>
        </w:rPr>
        <w:t xml:space="preserve">The purpose of this note is to outline the </w:t>
      </w:r>
      <w:r w:rsidR="00DC1040">
        <w:rPr>
          <w:rFonts w:ascii="Times New Roman" w:hAnsi="Times New Roman"/>
        </w:rPr>
        <w:t>concept and design</w:t>
      </w:r>
      <w:r>
        <w:rPr>
          <w:rFonts w:ascii="Times New Roman" w:hAnsi="Times New Roman"/>
        </w:rPr>
        <w:t xml:space="preserve"> for the impact evaluation of the Liberia EPAG Project. </w:t>
      </w:r>
      <w:r w:rsidR="00DC1040">
        <w:rPr>
          <w:rFonts w:ascii="Times New Roman" w:hAnsi="Times New Roman"/>
        </w:rPr>
        <w:t xml:space="preserve">The evaluation will employ a randomized pipeline design, in which trainees are randomly selected to receive training in one of two rounds, and participants in the second round are used as a comparison, or control, group for trainees in the first round. </w:t>
      </w:r>
      <w:r w:rsidR="005A7237">
        <w:rPr>
          <w:rFonts w:ascii="Times New Roman" w:hAnsi="Times New Roman"/>
        </w:rPr>
        <w:t xml:space="preserve">The evaluation is expected to occur over 30 months beginning in late 2009. </w:t>
      </w:r>
    </w:p>
    <w:p w:rsidR="00092C13" w:rsidRPr="00092C13" w:rsidRDefault="00092C13" w:rsidP="00092C13">
      <w:pPr>
        <w:spacing w:after="0"/>
        <w:jc w:val="both"/>
        <w:rPr>
          <w:rFonts w:ascii="Times New Roman" w:hAnsi="Times New Roman" w:cs="Times New Roman"/>
          <w:lang w:val="en-GB"/>
        </w:rPr>
      </w:pPr>
    </w:p>
    <w:p w:rsidR="000563BA" w:rsidRPr="000563BA" w:rsidRDefault="00512BDE" w:rsidP="00092C13">
      <w:pPr>
        <w:spacing w:after="0"/>
        <w:jc w:val="both"/>
        <w:rPr>
          <w:rFonts w:ascii="Times New Roman" w:hAnsi="Times New Roman" w:cs="Times New Roman"/>
        </w:rPr>
      </w:pPr>
      <w:r>
        <w:rPr>
          <w:rFonts w:ascii="Times New Roman" w:hAnsi="Times New Roman" w:cs="Times New Roman"/>
          <w:b/>
        </w:rPr>
        <w:t xml:space="preserve">EPAG </w:t>
      </w:r>
      <w:r w:rsidR="003C1F2D">
        <w:rPr>
          <w:rFonts w:ascii="Times New Roman" w:hAnsi="Times New Roman" w:cs="Times New Roman"/>
          <w:b/>
        </w:rPr>
        <w:t>Project D</w:t>
      </w:r>
      <w:r w:rsidR="00092C13" w:rsidRPr="000563BA">
        <w:rPr>
          <w:rFonts w:ascii="Times New Roman" w:hAnsi="Times New Roman" w:cs="Times New Roman"/>
          <w:b/>
        </w:rPr>
        <w:t>esign</w:t>
      </w:r>
      <w:r w:rsidR="00092C13" w:rsidRPr="000563BA">
        <w:rPr>
          <w:rFonts w:ascii="Times New Roman" w:hAnsi="Times New Roman" w:cs="Times New Roman"/>
        </w:rPr>
        <w:t xml:space="preserve">  </w:t>
      </w:r>
    </w:p>
    <w:p w:rsidR="00092C13" w:rsidRDefault="00092C13" w:rsidP="00092C13">
      <w:pPr>
        <w:spacing w:after="0"/>
        <w:jc w:val="both"/>
        <w:rPr>
          <w:rFonts w:ascii="Times New Roman" w:hAnsi="Times New Roman" w:cs="Times New Roman"/>
          <w:lang w:val="en-GB"/>
        </w:rPr>
      </w:pPr>
      <w:r w:rsidRPr="00092C13">
        <w:rPr>
          <w:rFonts w:ascii="Times New Roman" w:hAnsi="Times New Roman" w:cs="Times New Roman"/>
        </w:rPr>
        <w:t xml:space="preserve">The </w:t>
      </w:r>
      <w:r w:rsidR="000563BA">
        <w:rPr>
          <w:rFonts w:ascii="Times New Roman" w:hAnsi="Times New Roman" w:cs="Times New Roman"/>
        </w:rPr>
        <w:t xml:space="preserve">EPAG </w:t>
      </w:r>
      <w:r w:rsidRPr="00092C13">
        <w:rPr>
          <w:rFonts w:ascii="Times New Roman" w:hAnsi="Times New Roman" w:cs="Times New Roman"/>
        </w:rPr>
        <w:t xml:space="preserve">project will provide skills training to adolescent girls and young women (aged 15-24) in urban and peri-urban Monrovia, to increase their employment, incomes, and well-being.  The project has four components: (1) skills training for wage employment, combined with jobs placement assistance; (2) business development services and microcredit for young women entrepreneurs; (3) </w:t>
      </w:r>
      <w:r w:rsidRPr="00092C13">
        <w:rPr>
          <w:rFonts w:ascii="Times New Roman" w:hAnsi="Times New Roman" w:cs="Times New Roman"/>
          <w:lang w:val="en-GB"/>
        </w:rPr>
        <w:t>institutional strengthening of the government partner and implementing agencies; and (4) monitoring and impact evaluation.</w:t>
      </w:r>
    </w:p>
    <w:p w:rsidR="00092C13" w:rsidRPr="00092C13" w:rsidRDefault="00092C13" w:rsidP="00092C13">
      <w:pPr>
        <w:spacing w:after="0"/>
        <w:jc w:val="both"/>
        <w:rPr>
          <w:rFonts w:ascii="Times New Roman" w:hAnsi="Times New Roman" w:cs="Times New Roman"/>
        </w:rPr>
      </w:pPr>
    </w:p>
    <w:p w:rsidR="00092C13" w:rsidRDefault="00092C13" w:rsidP="00092C13">
      <w:pPr>
        <w:spacing w:after="0"/>
        <w:jc w:val="both"/>
        <w:rPr>
          <w:rFonts w:ascii="Times New Roman" w:hAnsi="Times New Roman" w:cs="Times New Roman"/>
          <w:lang w:val="en-GB"/>
        </w:rPr>
      </w:pPr>
      <w:r w:rsidRPr="00092C13">
        <w:rPr>
          <w:rFonts w:ascii="Times New Roman" w:hAnsi="Times New Roman" w:cs="Times New Roman"/>
          <w:lang w:val="en-GB"/>
        </w:rPr>
        <w:t xml:space="preserve">Skills training will be provided both for wage employment and for entrepreneurship and business development.  Training will include both technical skills as well as what are referred to as </w:t>
      </w:r>
      <w:r w:rsidR="005A2905">
        <w:rPr>
          <w:rFonts w:ascii="Times New Roman" w:hAnsi="Times New Roman" w:cs="Times New Roman"/>
          <w:lang w:val="en-GB"/>
        </w:rPr>
        <w:t>life</w:t>
      </w:r>
      <w:r w:rsidRPr="00092C13">
        <w:rPr>
          <w:rFonts w:ascii="Times New Roman" w:hAnsi="Times New Roman" w:cs="Times New Roman"/>
          <w:lang w:val="en-GB"/>
        </w:rPr>
        <w:t xml:space="preserve"> skills, including the ability to show up for work on time, interact creatively and positively with colleagues, and </w:t>
      </w:r>
      <w:r w:rsidR="005A2905">
        <w:rPr>
          <w:rFonts w:ascii="Times New Roman" w:hAnsi="Times New Roman" w:cs="Times New Roman"/>
          <w:lang w:val="en-GB"/>
        </w:rPr>
        <w:t xml:space="preserve">communicate and negotiate, and manage </w:t>
      </w:r>
      <w:r w:rsidR="0056551A">
        <w:rPr>
          <w:rFonts w:ascii="Times New Roman" w:hAnsi="Times New Roman" w:cs="Times New Roman"/>
          <w:lang w:val="en-GB"/>
        </w:rPr>
        <w:t xml:space="preserve">personal </w:t>
      </w:r>
      <w:r w:rsidR="005A2905">
        <w:rPr>
          <w:rFonts w:ascii="Times New Roman" w:hAnsi="Times New Roman" w:cs="Times New Roman"/>
          <w:lang w:val="en-GB"/>
        </w:rPr>
        <w:t>finances.</w:t>
      </w:r>
      <w:r w:rsidRPr="00092C13">
        <w:rPr>
          <w:rFonts w:ascii="Times New Roman" w:hAnsi="Times New Roman" w:cs="Times New Roman"/>
          <w:lang w:val="en-GB"/>
        </w:rPr>
        <w:t xml:space="preserve">  Participating adolescent girls and young women will be able to choose the training option that best suits their needs and preferences.  </w:t>
      </w:r>
    </w:p>
    <w:p w:rsidR="00092C13" w:rsidRPr="00092C13" w:rsidRDefault="00092C13" w:rsidP="00092C13">
      <w:pPr>
        <w:spacing w:after="0"/>
        <w:jc w:val="both"/>
        <w:rPr>
          <w:rFonts w:ascii="Times New Roman" w:hAnsi="Times New Roman" w:cs="Times New Roman"/>
          <w:lang w:val="en-GB"/>
        </w:rPr>
      </w:pPr>
    </w:p>
    <w:p w:rsidR="00092C13" w:rsidRPr="00092C13" w:rsidRDefault="00092C13" w:rsidP="00092C13">
      <w:pPr>
        <w:spacing w:after="0"/>
        <w:jc w:val="both"/>
        <w:rPr>
          <w:rFonts w:ascii="Times New Roman" w:hAnsi="Times New Roman" w:cs="Times New Roman"/>
          <w:lang w:val="en-GB"/>
        </w:rPr>
      </w:pPr>
      <w:r w:rsidRPr="00092C13">
        <w:rPr>
          <w:rFonts w:ascii="Times New Roman" w:hAnsi="Times New Roman" w:cs="Times New Roman"/>
        </w:rPr>
        <w:t xml:space="preserve">The institutions offering </w:t>
      </w:r>
      <w:r w:rsidRPr="00092C13">
        <w:rPr>
          <w:rFonts w:ascii="Times New Roman" w:hAnsi="Times New Roman" w:cs="Times New Roman"/>
          <w:lang w:val="en-GB"/>
        </w:rPr>
        <w:t xml:space="preserve">training for wage employment will be hired under performance-based contracts: providers that are more successful in placing their graduates in jobs will be given performance bonuses and will have their contract renewed and expanded; those that are less </w:t>
      </w:r>
      <w:r w:rsidRPr="00092C13">
        <w:rPr>
          <w:rFonts w:ascii="Times New Roman" w:hAnsi="Times New Roman" w:cs="Times New Roman"/>
          <w:lang w:val="en-GB"/>
        </w:rPr>
        <w:lastRenderedPageBreak/>
        <w:t xml:space="preserve">successful may have their contracts cancelled.  </w:t>
      </w:r>
      <w:r w:rsidR="005A2905">
        <w:rPr>
          <w:rFonts w:ascii="Times New Roman" w:hAnsi="Times New Roman" w:cs="Times New Roman"/>
          <w:lang w:val="en-GB"/>
        </w:rPr>
        <w:t>Hence, the project will</w:t>
      </w:r>
      <w:r w:rsidR="005A2905" w:rsidRPr="00092C13">
        <w:rPr>
          <w:rFonts w:ascii="Times New Roman" w:hAnsi="Times New Roman" w:cs="Times New Roman"/>
          <w:lang w:val="en-GB"/>
        </w:rPr>
        <w:t xml:space="preserve"> not specify </w:t>
      </w:r>
      <w:r w:rsidR="005A2905" w:rsidRPr="00092C13">
        <w:rPr>
          <w:rFonts w:ascii="Times New Roman" w:hAnsi="Times New Roman" w:cs="Times New Roman"/>
          <w:i/>
          <w:lang w:val="en-GB"/>
        </w:rPr>
        <w:t>ex ante</w:t>
      </w:r>
      <w:r w:rsidR="005A2905" w:rsidRPr="00092C13">
        <w:rPr>
          <w:rFonts w:ascii="Times New Roman" w:hAnsi="Times New Roman" w:cs="Times New Roman"/>
          <w:lang w:val="en-GB"/>
        </w:rPr>
        <w:t xml:space="preserve"> in which sectors the skills training is to be provided.  </w:t>
      </w:r>
      <w:r w:rsidRPr="00092C13">
        <w:rPr>
          <w:rFonts w:ascii="Times New Roman" w:hAnsi="Times New Roman" w:cs="Times New Roman"/>
          <w:lang w:val="en-GB"/>
        </w:rPr>
        <w:t xml:space="preserve">Those providing training in business development services will be similarly evaluated, and will face a similar set of incentives.  </w:t>
      </w:r>
      <w:r w:rsidR="00F77AE1">
        <w:rPr>
          <w:rFonts w:ascii="Times New Roman" w:hAnsi="Times New Roman" w:cs="Times New Roman"/>
          <w:lang w:val="en-GB"/>
        </w:rPr>
        <w:t>P</w:t>
      </w:r>
      <w:r w:rsidRPr="00092C13">
        <w:rPr>
          <w:rFonts w:ascii="Times New Roman" w:hAnsi="Times New Roman" w:cs="Times New Roman"/>
          <w:lang w:val="en-GB"/>
        </w:rPr>
        <w:t xml:space="preserve">erformance in this component </w:t>
      </w:r>
      <w:r w:rsidR="00F77AE1">
        <w:rPr>
          <w:rFonts w:ascii="Times New Roman" w:hAnsi="Times New Roman" w:cs="Times New Roman"/>
          <w:lang w:val="en-GB"/>
        </w:rPr>
        <w:t xml:space="preserve">will be measured using indicators such as: </w:t>
      </w:r>
      <w:r w:rsidRPr="00092C13">
        <w:rPr>
          <w:rFonts w:ascii="Times New Roman" w:hAnsi="Times New Roman" w:cs="Times New Roman"/>
        </w:rPr>
        <w:t xml:space="preserve">(1) the proportion of graduates who launch a business within six months of graduation, or (2) the number of these businesses surviving one year after graduation. </w:t>
      </w:r>
    </w:p>
    <w:p w:rsidR="00092C13" w:rsidRPr="00092C13" w:rsidRDefault="00092C13" w:rsidP="00092C13">
      <w:pPr>
        <w:spacing w:after="0"/>
        <w:rPr>
          <w:rFonts w:ascii="Times New Roman" w:hAnsi="Times New Roman" w:cs="Times New Roman"/>
          <w:lang w:val="en-GB"/>
        </w:rPr>
      </w:pPr>
    </w:p>
    <w:p w:rsidR="00F77AE1" w:rsidRPr="00F77AE1" w:rsidRDefault="00512BDE" w:rsidP="00092C13">
      <w:pPr>
        <w:spacing w:after="0"/>
        <w:jc w:val="both"/>
        <w:rPr>
          <w:rFonts w:ascii="Times New Roman" w:hAnsi="Times New Roman" w:cs="Times New Roman"/>
          <w:lang w:val="en-GB"/>
        </w:rPr>
      </w:pPr>
      <w:r>
        <w:rPr>
          <w:rFonts w:ascii="Times New Roman" w:hAnsi="Times New Roman" w:cs="Times New Roman"/>
          <w:b/>
          <w:lang w:val="en-GB"/>
        </w:rPr>
        <w:t>Objective of the EPAG Impact Evaluation</w:t>
      </w:r>
    </w:p>
    <w:p w:rsidR="00092C13" w:rsidRPr="00092C13" w:rsidRDefault="00092C13" w:rsidP="00092C13">
      <w:pPr>
        <w:spacing w:after="0"/>
        <w:jc w:val="both"/>
        <w:rPr>
          <w:rFonts w:ascii="Times New Roman" w:hAnsi="Times New Roman" w:cs="Times New Roman"/>
          <w:lang w:val="en-GB"/>
        </w:rPr>
      </w:pPr>
      <w:r w:rsidRPr="00092C13">
        <w:rPr>
          <w:rFonts w:ascii="Times New Roman" w:hAnsi="Times New Roman" w:cs="Times New Roman"/>
          <w:lang w:val="en-GB"/>
        </w:rPr>
        <w:t xml:space="preserve">The </w:t>
      </w:r>
      <w:r w:rsidR="00512BDE">
        <w:rPr>
          <w:rFonts w:ascii="Times New Roman" w:hAnsi="Times New Roman" w:cs="Times New Roman"/>
          <w:lang w:val="en-GB"/>
        </w:rPr>
        <w:t xml:space="preserve">EPAG </w:t>
      </w:r>
      <w:r w:rsidRPr="00092C13">
        <w:rPr>
          <w:rFonts w:ascii="Times New Roman" w:hAnsi="Times New Roman" w:cs="Times New Roman"/>
          <w:lang w:val="en-GB"/>
        </w:rPr>
        <w:t>project is expected to increase employment and incomes of young women in urban and peri-urban Monrovia.  Experience from other regions has shown that t</w:t>
      </w:r>
      <w:r w:rsidRPr="00092C13">
        <w:rPr>
          <w:rFonts w:ascii="Times New Roman" w:hAnsi="Times New Roman" w:cs="Times New Roman"/>
        </w:rPr>
        <w:t>raining and entrepreneurship programs can have enormous impacts on girls’ employment prospects and earnings (Buvinic 2005; Card 2007).  Since the labor market success of young women also depends on their ability to overcome significant social barriers, the t</w:t>
      </w:r>
      <w:r w:rsidRPr="00092C13">
        <w:rPr>
          <w:rFonts w:ascii="Times New Roman" w:hAnsi="Times New Roman" w:cs="Times New Roman"/>
          <w:lang w:val="en-GB"/>
        </w:rPr>
        <w:t>raining curricula will also provide information and guidance on reproductive health, child care, and endemic sexual violence and transactional sex.  Conversely, the economic empowerment of young women can lead to independence and empowerment in other arenas, as well.  The Liberian Ministry of Gender has specifically requested that the project examine non-labor-market outcomes, such as the incidence of victimization and violence which are a serious concern for young women in Liberia, and changes in risky behaviour which may be manifest, for example, in the incidence of sexua</w:t>
      </w:r>
      <w:r w:rsidR="00512BDE">
        <w:rPr>
          <w:rFonts w:ascii="Times New Roman" w:hAnsi="Times New Roman" w:cs="Times New Roman"/>
          <w:lang w:val="en-GB"/>
        </w:rPr>
        <w:t>lly transmitted infections or</w:t>
      </w:r>
      <w:r w:rsidRPr="00092C13">
        <w:rPr>
          <w:rFonts w:ascii="Times New Roman" w:hAnsi="Times New Roman" w:cs="Times New Roman"/>
          <w:lang w:val="en-GB"/>
        </w:rPr>
        <w:t xml:space="preserve"> unwanted pregnancies.</w:t>
      </w:r>
    </w:p>
    <w:p w:rsidR="00092C13" w:rsidRPr="00092C13" w:rsidRDefault="00092C13" w:rsidP="00092C13">
      <w:pPr>
        <w:spacing w:after="0"/>
        <w:jc w:val="both"/>
        <w:rPr>
          <w:rFonts w:ascii="Times New Roman" w:hAnsi="Times New Roman" w:cs="Times New Roman"/>
          <w:lang w:val="en-GB"/>
        </w:rPr>
      </w:pPr>
    </w:p>
    <w:p w:rsidR="00092C13" w:rsidRPr="00092C13" w:rsidRDefault="00092C13" w:rsidP="00092C13">
      <w:pPr>
        <w:pStyle w:val="FootnoteText"/>
        <w:rPr>
          <w:sz w:val="24"/>
        </w:rPr>
      </w:pPr>
      <w:r w:rsidRPr="00092C13">
        <w:t>S</w:t>
      </w:r>
      <w:r w:rsidRPr="00092C13">
        <w:rPr>
          <w:sz w:val="24"/>
        </w:rPr>
        <w:t xml:space="preserve">pecific questions and indicators include the following:  </w:t>
      </w:r>
    </w:p>
    <w:p w:rsidR="00092C13" w:rsidRPr="00092C13" w:rsidRDefault="00092C13" w:rsidP="00092C13">
      <w:pPr>
        <w:pStyle w:val="FootnoteText"/>
        <w:rPr>
          <w:sz w:val="24"/>
        </w:rPr>
      </w:pPr>
    </w:p>
    <w:p w:rsidR="00092C13" w:rsidRPr="00092C13" w:rsidRDefault="00092C13" w:rsidP="00092C13">
      <w:pPr>
        <w:pStyle w:val="FootnoteText"/>
        <w:numPr>
          <w:ilvl w:val="0"/>
          <w:numId w:val="8"/>
        </w:numPr>
        <w:jc w:val="both"/>
        <w:rPr>
          <w:sz w:val="24"/>
        </w:rPr>
      </w:pPr>
      <w:r w:rsidRPr="00092C13">
        <w:rPr>
          <w:sz w:val="24"/>
        </w:rPr>
        <w:t xml:space="preserve">Are young women in </w:t>
      </w:r>
      <w:smartTag w:uri="urn:schemas-microsoft-com:office:smarttags" w:element="place">
        <w:smartTag w:uri="urn:schemas-microsoft-com:office:smarttags" w:element="country-region">
          <w:r w:rsidRPr="00092C13">
            <w:rPr>
              <w:sz w:val="24"/>
            </w:rPr>
            <w:t>Liberia</w:t>
          </w:r>
        </w:smartTag>
      </w:smartTag>
      <w:r w:rsidRPr="00092C13">
        <w:rPr>
          <w:sz w:val="24"/>
        </w:rPr>
        <w:t xml:space="preserve"> prevented from obtaining productive employment due to lack of marketable skills?  Will providing these skills enhance success in the labor market?  Indicators include the incidence of employment and the level of income earned.</w:t>
      </w:r>
    </w:p>
    <w:p w:rsidR="00092C13" w:rsidRPr="00092C13" w:rsidRDefault="00092C13" w:rsidP="00092C13">
      <w:pPr>
        <w:pStyle w:val="FootnoteText"/>
        <w:numPr>
          <w:ilvl w:val="0"/>
          <w:numId w:val="8"/>
        </w:numPr>
        <w:jc w:val="both"/>
        <w:rPr>
          <w:sz w:val="24"/>
        </w:rPr>
      </w:pPr>
      <w:r w:rsidRPr="00092C13">
        <w:rPr>
          <w:sz w:val="24"/>
        </w:rPr>
        <w:t>Does training in business development services lead to greater success in the development of entrepreneurial activities?  Indicators include the incidence of successful launch of enterprises and the income earned from these enterprises.</w:t>
      </w:r>
    </w:p>
    <w:p w:rsidR="00092C13" w:rsidRPr="00092C13" w:rsidRDefault="00092C13" w:rsidP="00092C13">
      <w:pPr>
        <w:pStyle w:val="FootnoteText"/>
        <w:numPr>
          <w:ilvl w:val="0"/>
          <w:numId w:val="8"/>
        </w:numPr>
        <w:jc w:val="both"/>
        <w:rPr>
          <w:sz w:val="24"/>
        </w:rPr>
      </w:pPr>
      <w:r w:rsidRPr="00092C13">
        <w:rPr>
          <w:sz w:val="24"/>
        </w:rPr>
        <w:t>What is the relative cost-effectiveness of these two alternative methods for economic empowerment, in terms of the income gains to the young women who participate?  Indicators include a comparison of the relative changes in incomes and productive economic activity across the two groups receiving the interventions.</w:t>
      </w:r>
    </w:p>
    <w:p w:rsidR="00092C13" w:rsidRPr="00092C13" w:rsidRDefault="00092C13" w:rsidP="00092C13">
      <w:pPr>
        <w:pStyle w:val="FootnoteText"/>
        <w:numPr>
          <w:ilvl w:val="0"/>
          <w:numId w:val="8"/>
        </w:numPr>
        <w:jc w:val="both"/>
        <w:rPr>
          <w:sz w:val="24"/>
        </w:rPr>
      </w:pPr>
      <w:r w:rsidRPr="00092C13">
        <w:rPr>
          <w:sz w:val="24"/>
        </w:rPr>
        <w:t>What is the impact of economic empowerment on the incidence of violence suffered or threats received by the young female participants, from partners and others?  Indicators include self-reported experience of violence and other adverse events.</w:t>
      </w:r>
    </w:p>
    <w:p w:rsidR="00092C13" w:rsidRPr="00092C13" w:rsidRDefault="00092C13" w:rsidP="00092C13">
      <w:pPr>
        <w:pStyle w:val="FootnoteText"/>
        <w:numPr>
          <w:ilvl w:val="0"/>
          <w:numId w:val="8"/>
        </w:numPr>
        <w:jc w:val="both"/>
        <w:rPr>
          <w:sz w:val="24"/>
        </w:rPr>
      </w:pPr>
      <w:r w:rsidRPr="00092C13">
        <w:rPr>
          <w:sz w:val="24"/>
        </w:rPr>
        <w:t>What is the impact of economic empowerment on the manifest outcomes of other types of behavioral risk-taking?  Indicators include incidence of pregnancy and other self-reported sexually transmitted infection.</w:t>
      </w:r>
    </w:p>
    <w:p w:rsidR="00092C13" w:rsidRPr="00092C13" w:rsidRDefault="00092C13" w:rsidP="00092C13">
      <w:pPr>
        <w:spacing w:after="0"/>
        <w:jc w:val="both"/>
        <w:rPr>
          <w:rFonts w:ascii="Times New Roman" w:hAnsi="Times New Roman" w:cs="Times New Roman"/>
          <w:b/>
        </w:rPr>
      </w:pPr>
    </w:p>
    <w:p w:rsidR="00656C37" w:rsidRPr="00092C13" w:rsidRDefault="003C1F2D" w:rsidP="00092C13">
      <w:pPr>
        <w:spacing w:after="0"/>
        <w:jc w:val="both"/>
        <w:rPr>
          <w:rFonts w:ascii="Times New Roman" w:hAnsi="Times New Roman" w:cs="Times New Roman"/>
        </w:rPr>
      </w:pPr>
      <w:r>
        <w:rPr>
          <w:rFonts w:ascii="Times New Roman" w:hAnsi="Times New Roman" w:cs="Times New Roman"/>
          <w:b/>
        </w:rPr>
        <w:t>Experimental D</w:t>
      </w:r>
      <w:r w:rsidR="00656C37" w:rsidRPr="00092C13">
        <w:rPr>
          <w:rFonts w:ascii="Times New Roman" w:hAnsi="Times New Roman" w:cs="Times New Roman"/>
          <w:b/>
        </w:rPr>
        <w:t>esign of the</w:t>
      </w:r>
      <w:r w:rsidR="00512BDE">
        <w:rPr>
          <w:rFonts w:ascii="Times New Roman" w:hAnsi="Times New Roman" w:cs="Times New Roman"/>
          <w:b/>
        </w:rPr>
        <w:t xml:space="preserve"> EPAG Impact Evaluation</w:t>
      </w:r>
    </w:p>
    <w:p w:rsidR="00656C37" w:rsidRPr="00092C13" w:rsidRDefault="00656C37" w:rsidP="00092C13">
      <w:pPr>
        <w:jc w:val="both"/>
        <w:rPr>
          <w:rFonts w:ascii="Times New Roman" w:hAnsi="Times New Roman" w:cs="Times New Roman"/>
        </w:rPr>
      </w:pPr>
      <w:r w:rsidRPr="00092C13">
        <w:rPr>
          <w:rFonts w:ascii="Times New Roman" w:hAnsi="Times New Roman" w:cs="Times New Roman"/>
        </w:rPr>
        <w:lastRenderedPageBreak/>
        <w:t xml:space="preserve">This section will </w:t>
      </w:r>
      <w:r w:rsidR="000E731C" w:rsidRPr="00092C13">
        <w:rPr>
          <w:rFonts w:ascii="Times New Roman" w:hAnsi="Times New Roman" w:cs="Times New Roman"/>
        </w:rPr>
        <w:t xml:space="preserve">describe the requirements and responsibilities </w:t>
      </w:r>
      <w:r w:rsidR="000E731C">
        <w:rPr>
          <w:rFonts w:ascii="Times New Roman" w:hAnsi="Times New Roman" w:cs="Times New Roman"/>
        </w:rPr>
        <w:t>of the EPAG impact evaluation in relation to the rest of the project</w:t>
      </w:r>
      <w:r w:rsidRPr="00092C13">
        <w:rPr>
          <w:rFonts w:ascii="Times New Roman" w:hAnsi="Times New Roman" w:cs="Times New Roman"/>
        </w:rPr>
        <w:t xml:space="preserve">.  These primarily deal </w:t>
      </w:r>
      <w:r w:rsidR="00784700">
        <w:rPr>
          <w:rFonts w:ascii="Times New Roman" w:hAnsi="Times New Roman" w:cs="Times New Roman"/>
        </w:rPr>
        <w:t>with the selection of beneficiaries</w:t>
      </w:r>
      <w:r w:rsidRPr="00092C13">
        <w:rPr>
          <w:rFonts w:ascii="Times New Roman" w:hAnsi="Times New Roman" w:cs="Times New Roman"/>
        </w:rPr>
        <w:t>, the assignment of participants to experimental arms, and the steps involved in interviewing and following up participants over time</w:t>
      </w:r>
      <w:r w:rsidR="00EF4FB0">
        <w:rPr>
          <w:rFonts w:ascii="Times New Roman" w:hAnsi="Times New Roman" w:cs="Times New Roman"/>
        </w:rPr>
        <w:t>.</w:t>
      </w:r>
    </w:p>
    <w:p w:rsidR="00656C37" w:rsidRPr="00092C13" w:rsidRDefault="00656C37" w:rsidP="00092C13">
      <w:pPr>
        <w:spacing w:after="0"/>
        <w:jc w:val="both"/>
        <w:rPr>
          <w:rFonts w:ascii="Times New Roman" w:hAnsi="Times New Roman" w:cs="Times New Roman"/>
        </w:rPr>
      </w:pPr>
      <w:r w:rsidRPr="00092C13">
        <w:rPr>
          <w:rFonts w:ascii="Times New Roman" w:hAnsi="Times New Roman" w:cs="Times New Roman"/>
          <w:b/>
          <w:i/>
        </w:rPr>
        <w:t>Identification of participants</w:t>
      </w:r>
      <w:r w:rsidRPr="00092C13">
        <w:rPr>
          <w:rFonts w:ascii="Times New Roman" w:hAnsi="Times New Roman" w:cs="Times New Roman"/>
        </w:rPr>
        <w:t xml:space="preserve">.  This project will offer training in urban and peri-urban Monrovia, in nine separate locations in Montserrado and Margibi counties.  </w:t>
      </w:r>
      <w:r w:rsidR="001A53A3">
        <w:rPr>
          <w:rFonts w:ascii="Times New Roman" w:hAnsi="Times New Roman" w:cs="Times New Roman"/>
        </w:rPr>
        <w:t>Four</w:t>
      </w:r>
      <w:r w:rsidRPr="00092C13">
        <w:rPr>
          <w:rFonts w:ascii="Times New Roman" w:hAnsi="Times New Roman" w:cs="Times New Roman"/>
        </w:rPr>
        <w:t xml:space="preserve"> training providers will be contracted to offer training</w:t>
      </w:r>
      <w:r w:rsidR="001A53A3">
        <w:rPr>
          <w:rFonts w:ascii="Times New Roman" w:hAnsi="Times New Roman" w:cs="Times New Roman"/>
        </w:rPr>
        <w:t xml:space="preserve"> over these nine project sites. </w:t>
      </w:r>
      <w:r w:rsidRPr="00092C13">
        <w:rPr>
          <w:rFonts w:ascii="Times New Roman" w:hAnsi="Times New Roman" w:cs="Times New Roman"/>
        </w:rPr>
        <w:t xml:space="preserve">The total number of students was chosen as the maximum that could be provided training given the fixed budget available for training.  </w:t>
      </w:r>
    </w:p>
    <w:p w:rsidR="00656C37" w:rsidRPr="00092C13" w:rsidRDefault="001A53A3" w:rsidP="00092C13">
      <w:pPr>
        <w:spacing w:after="0"/>
        <w:jc w:val="both"/>
        <w:rPr>
          <w:rFonts w:ascii="Times New Roman" w:hAnsi="Times New Roman" w:cs="Times New Roman"/>
        </w:rPr>
      </w:pPr>
      <w:r>
        <w:rPr>
          <w:rFonts w:ascii="Times New Roman" w:hAnsi="Times New Roman" w:cs="Times New Roman"/>
        </w:rPr>
        <w:t xml:space="preserve">The evaluation firm contracted to conduct the data collection for the evaluation will also </w:t>
      </w:r>
      <w:r w:rsidR="004B2033">
        <w:rPr>
          <w:rFonts w:ascii="Times New Roman" w:hAnsi="Times New Roman" w:cs="Times New Roman"/>
        </w:rPr>
        <w:t>gather  data on each</w:t>
      </w:r>
      <w:r w:rsidR="004F624C">
        <w:rPr>
          <w:rFonts w:ascii="Times New Roman" w:hAnsi="Times New Roman" w:cs="Times New Roman"/>
        </w:rPr>
        <w:t xml:space="preserve"> study location</w:t>
      </w:r>
      <w:r w:rsidR="00656C37" w:rsidRPr="00092C13">
        <w:rPr>
          <w:rFonts w:ascii="Times New Roman" w:hAnsi="Times New Roman" w:cs="Times New Roman"/>
        </w:rPr>
        <w:t xml:space="preserve"> in order to understand the characte</w:t>
      </w:r>
      <w:r w:rsidR="005C450C">
        <w:rPr>
          <w:rFonts w:ascii="Times New Roman" w:hAnsi="Times New Roman" w:cs="Times New Roman"/>
        </w:rPr>
        <w:t>ristics of the local population</w:t>
      </w:r>
      <w:r w:rsidR="00656C37" w:rsidRPr="00092C13">
        <w:rPr>
          <w:rFonts w:ascii="Times New Roman" w:hAnsi="Times New Roman" w:cs="Times New Roman"/>
        </w:rPr>
        <w:t xml:space="preserve"> and </w:t>
      </w:r>
      <w:r w:rsidR="00A37F39">
        <w:rPr>
          <w:rFonts w:ascii="Times New Roman" w:hAnsi="Times New Roman" w:cs="Times New Roman"/>
        </w:rPr>
        <w:t xml:space="preserve">to </w:t>
      </w:r>
      <w:r w:rsidR="00656C37" w:rsidRPr="00092C13">
        <w:rPr>
          <w:rFonts w:ascii="Times New Roman" w:hAnsi="Times New Roman" w:cs="Times New Roman"/>
        </w:rPr>
        <w:t xml:space="preserve">calculate sample weights.  </w:t>
      </w:r>
    </w:p>
    <w:p w:rsidR="00656C37" w:rsidRPr="00092C13" w:rsidRDefault="00656C37" w:rsidP="00092C13">
      <w:pPr>
        <w:spacing w:after="0"/>
        <w:jc w:val="both"/>
        <w:rPr>
          <w:rFonts w:ascii="Times New Roman" w:hAnsi="Times New Roman" w:cs="Times New Roman"/>
        </w:rPr>
      </w:pPr>
    </w:p>
    <w:p w:rsidR="00656C37" w:rsidRPr="00092C13" w:rsidRDefault="00656C37" w:rsidP="00092C13">
      <w:pPr>
        <w:spacing w:after="0"/>
        <w:jc w:val="both"/>
        <w:rPr>
          <w:rFonts w:ascii="Times New Roman" w:hAnsi="Times New Roman" w:cs="Times New Roman"/>
        </w:rPr>
      </w:pPr>
      <w:r w:rsidRPr="00092C13">
        <w:rPr>
          <w:rFonts w:ascii="Times New Roman" w:hAnsi="Times New Roman" w:cs="Times New Roman"/>
          <w:b/>
          <w:i/>
        </w:rPr>
        <w:t>Assignment to experimental arms</w:t>
      </w:r>
      <w:r w:rsidRPr="00092C13">
        <w:rPr>
          <w:rFonts w:ascii="Times New Roman" w:hAnsi="Times New Roman" w:cs="Times New Roman"/>
        </w:rPr>
        <w:t xml:space="preserve">.  Participants will be recruited in the initial phase of the project, at which time they will </w:t>
      </w:r>
      <w:r w:rsidR="00E625F5">
        <w:rPr>
          <w:rFonts w:ascii="Times New Roman" w:hAnsi="Times New Roman" w:cs="Times New Roman"/>
        </w:rPr>
        <w:t xml:space="preserve">be administered </w:t>
      </w:r>
      <w:r w:rsidRPr="00092C13">
        <w:rPr>
          <w:rFonts w:ascii="Times New Roman" w:hAnsi="Times New Roman" w:cs="Times New Roman"/>
        </w:rPr>
        <w:t xml:space="preserve">a baseline survey.  Following the baseline survey, participants will be assigned to one of </w:t>
      </w:r>
      <w:r w:rsidR="00217789">
        <w:rPr>
          <w:rFonts w:ascii="Times New Roman" w:hAnsi="Times New Roman" w:cs="Times New Roman"/>
          <w:b/>
        </w:rPr>
        <w:t>f</w:t>
      </w:r>
      <w:r w:rsidR="00F46CB0">
        <w:rPr>
          <w:rFonts w:ascii="Times New Roman" w:hAnsi="Times New Roman" w:cs="Times New Roman"/>
          <w:b/>
        </w:rPr>
        <w:t>ive</w:t>
      </w:r>
      <w:r w:rsidRPr="00092C13">
        <w:rPr>
          <w:rFonts w:ascii="Times New Roman" w:hAnsi="Times New Roman" w:cs="Times New Roman"/>
          <w:b/>
        </w:rPr>
        <w:t xml:space="preserve"> </w:t>
      </w:r>
      <w:r w:rsidRPr="00092C13">
        <w:rPr>
          <w:rFonts w:ascii="Times New Roman" w:hAnsi="Times New Roman" w:cs="Times New Roman"/>
        </w:rPr>
        <w:t xml:space="preserve">experimental arms.  </w:t>
      </w:r>
    </w:p>
    <w:p w:rsidR="00656C37" w:rsidRPr="00092C13" w:rsidRDefault="00656C37" w:rsidP="00092C13">
      <w:pPr>
        <w:spacing w:after="0"/>
        <w:jc w:val="both"/>
        <w:rPr>
          <w:rFonts w:ascii="Times New Roman" w:hAnsi="Times New Roman" w:cs="Times New Roman"/>
        </w:rPr>
      </w:pPr>
    </w:p>
    <w:p w:rsidR="00656C37" w:rsidRPr="00092C13" w:rsidRDefault="00AF6449" w:rsidP="00092C13">
      <w:pPr>
        <w:spacing w:after="0"/>
        <w:jc w:val="both"/>
        <w:rPr>
          <w:rFonts w:ascii="Times New Roman" w:hAnsi="Times New Roman" w:cs="Times New Roman"/>
        </w:rPr>
      </w:pPr>
      <w:r>
        <w:rPr>
          <w:rFonts w:ascii="Times New Roman" w:hAnsi="Times New Roman" w:cs="Times New Roman"/>
        </w:rPr>
        <w:t>First, p</w:t>
      </w:r>
      <w:r w:rsidRPr="00092C13">
        <w:rPr>
          <w:rFonts w:ascii="Times New Roman" w:hAnsi="Times New Roman" w:cs="Times New Roman"/>
        </w:rPr>
        <w:t>a</w:t>
      </w:r>
      <w:r>
        <w:rPr>
          <w:rFonts w:ascii="Times New Roman" w:hAnsi="Times New Roman" w:cs="Times New Roman"/>
        </w:rPr>
        <w:t>rticipants will choose to apply for</w:t>
      </w:r>
      <w:r w:rsidRPr="00092C13">
        <w:rPr>
          <w:rFonts w:ascii="Times New Roman" w:hAnsi="Times New Roman" w:cs="Times New Roman"/>
        </w:rPr>
        <w:t xml:space="preserve"> training in skills f</w:t>
      </w:r>
      <w:r>
        <w:rPr>
          <w:rFonts w:ascii="Times New Roman" w:hAnsi="Times New Roman" w:cs="Times New Roman"/>
        </w:rPr>
        <w:t xml:space="preserve">or wage employment (WE) or </w:t>
      </w:r>
      <w:r w:rsidRPr="00092C13">
        <w:rPr>
          <w:rFonts w:ascii="Times New Roman" w:hAnsi="Times New Roman" w:cs="Times New Roman"/>
        </w:rPr>
        <w:t xml:space="preserve">business development skills (BDS).  </w:t>
      </w:r>
      <w:r>
        <w:rPr>
          <w:rFonts w:ascii="Times New Roman" w:hAnsi="Times New Roman" w:cs="Times New Roman"/>
        </w:rPr>
        <w:t>A</w:t>
      </w:r>
      <w:r w:rsidRPr="00092C13">
        <w:rPr>
          <w:rFonts w:ascii="Times New Roman" w:hAnsi="Times New Roman" w:cs="Times New Roman"/>
        </w:rPr>
        <w:t xml:space="preserve">llocation of available places will be determined by </w:t>
      </w:r>
      <w:r>
        <w:rPr>
          <w:rFonts w:ascii="Times New Roman" w:hAnsi="Times New Roman" w:cs="Times New Roman"/>
        </w:rPr>
        <w:t>separate lotteries for WE and BDS to be held in each of the nine project locations.</w:t>
      </w:r>
      <w:r w:rsidRPr="00092C13">
        <w:rPr>
          <w:rFonts w:ascii="Times New Roman" w:hAnsi="Times New Roman" w:cs="Times New Roman"/>
        </w:rPr>
        <w:t xml:space="preserve">  The precise proportion of the sample </w:t>
      </w:r>
      <w:r>
        <w:rPr>
          <w:rFonts w:ascii="Times New Roman" w:hAnsi="Times New Roman" w:cs="Times New Roman"/>
        </w:rPr>
        <w:t>will</w:t>
      </w:r>
      <w:r w:rsidRPr="00092C13">
        <w:rPr>
          <w:rFonts w:ascii="Times New Roman" w:hAnsi="Times New Roman" w:cs="Times New Roman"/>
        </w:rPr>
        <w:t xml:space="preserve"> be 60|40, with more receiving training in BDS.  </w:t>
      </w:r>
      <w:r>
        <w:rPr>
          <w:rFonts w:ascii="Times New Roman" w:hAnsi="Times New Roman" w:cs="Times New Roman"/>
        </w:rPr>
        <w:t>Second, o</w:t>
      </w:r>
      <w:r w:rsidR="00656C37" w:rsidRPr="00092C13">
        <w:rPr>
          <w:rFonts w:ascii="Times New Roman" w:hAnsi="Times New Roman" w:cs="Times New Roman"/>
        </w:rPr>
        <w:t xml:space="preserve">ne-half of the participants </w:t>
      </w:r>
      <w:r>
        <w:rPr>
          <w:rFonts w:ascii="Times New Roman" w:hAnsi="Times New Roman" w:cs="Times New Roman"/>
        </w:rPr>
        <w:t xml:space="preserve">for each type of training </w:t>
      </w:r>
      <w:r w:rsidR="00656C37" w:rsidRPr="00092C13">
        <w:rPr>
          <w:rFonts w:ascii="Times New Roman" w:hAnsi="Times New Roman" w:cs="Times New Roman"/>
        </w:rPr>
        <w:t>will be assigned to re</w:t>
      </w:r>
      <w:r w:rsidR="00E625F5">
        <w:rPr>
          <w:rFonts w:ascii="Times New Roman" w:hAnsi="Times New Roman" w:cs="Times New Roman"/>
        </w:rPr>
        <w:t>ceive training in the first round</w:t>
      </w:r>
      <w:r w:rsidR="00656C37" w:rsidRPr="00092C13">
        <w:rPr>
          <w:rFonts w:ascii="Times New Roman" w:hAnsi="Times New Roman" w:cs="Times New Roman"/>
        </w:rPr>
        <w:t xml:space="preserve">, and the other half will be </w:t>
      </w:r>
      <w:r>
        <w:rPr>
          <w:rFonts w:ascii="Times New Roman" w:hAnsi="Times New Roman" w:cs="Times New Roman"/>
        </w:rPr>
        <w:t xml:space="preserve">assigned to the control group. </w:t>
      </w:r>
      <w:r w:rsidR="00656C37" w:rsidRPr="00092C13">
        <w:rPr>
          <w:rFonts w:ascii="Times New Roman" w:hAnsi="Times New Roman" w:cs="Times New Roman"/>
        </w:rPr>
        <w:t>Assignment of participan</w:t>
      </w:r>
      <w:r>
        <w:rPr>
          <w:rFonts w:ascii="Times New Roman" w:hAnsi="Times New Roman" w:cs="Times New Roman"/>
        </w:rPr>
        <w:t>ts to rounds will also be done by lottery, managed by</w:t>
      </w:r>
      <w:r w:rsidR="00656C37" w:rsidRPr="00092C13">
        <w:rPr>
          <w:rFonts w:ascii="Times New Roman" w:hAnsi="Times New Roman" w:cs="Times New Roman"/>
        </w:rPr>
        <w:t xml:space="preserve"> the project </w:t>
      </w:r>
      <w:r>
        <w:rPr>
          <w:rFonts w:ascii="Times New Roman" w:hAnsi="Times New Roman" w:cs="Times New Roman"/>
        </w:rPr>
        <w:t xml:space="preserve">coordinator </w:t>
      </w:r>
      <w:r w:rsidR="00656C37" w:rsidRPr="00092C13">
        <w:rPr>
          <w:rFonts w:ascii="Times New Roman" w:hAnsi="Times New Roman" w:cs="Times New Roman"/>
        </w:rPr>
        <w:t>with the assi</w:t>
      </w:r>
      <w:r>
        <w:rPr>
          <w:rFonts w:ascii="Times New Roman" w:hAnsi="Times New Roman" w:cs="Times New Roman"/>
        </w:rPr>
        <w:t>stance of the evaluation coordinator</w:t>
      </w:r>
      <w:r w:rsidR="00656C37" w:rsidRPr="00092C13">
        <w:rPr>
          <w:rFonts w:ascii="Times New Roman" w:hAnsi="Times New Roman" w:cs="Times New Roman"/>
        </w:rPr>
        <w:t xml:space="preserve"> and the evaluation firm.  </w:t>
      </w:r>
    </w:p>
    <w:p w:rsidR="00656C37" w:rsidRPr="00092C13" w:rsidRDefault="00656C37" w:rsidP="00092C13">
      <w:pPr>
        <w:spacing w:after="0"/>
        <w:jc w:val="both"/>
        <w:rPr>
          <w:rFonts w:ascii="Times New Roman" w:hAnsi="Times New Roman" w:cs="Times New Roman"/>
        </w:rPr>
      </w:pPr>
    </w:p>
    <w:p w:rsidR="00F46CB0" w:rsidRDefault="00656C37" w:rsidP="00092C13">
      <w:pPr>
        <w:spacing w:after="0"/>
        <w:jc w:val="both"/>
        <w:rPr>
          <w:rFonts w:ascii="Times New Roman" w:hAnsi="Times New Roman" w:cs="Times New Roman"/>
        </w:rPr>
      </w:pPr>
      <w:r w:rsidRPr="00092C13">
        <w:rPr>
          <w:rFonts w:ascii="Times New Roman" w:hAnsi="Times New Roman" w:cs="Times New Roman"/>
        </w:rPr>
        <w:t>T</w:t>
      </w:r>
      <w:r w:rsidR="00F46CB0">
        <w:rPr>
          <w:rFonts w:ascii="Times New Roman" w:hAnsi="Times New Roman" w:cs="Times New Roman"/>
        </w:rPr>
        <w:t>hird, t</w:t>
      </w:r>
      <w:r w:rsidRPr="00092C13">
        <w:rPr>
          <w:rFonts w:ascii="Times New Roman" w:hAnsi="Times New Roman" w:cs="Times New Roman"/>
        </w:rPr>
        <w:t xml:space="preserve">hose assigned </w:t>
      </w:r>
      <w:r w:rsidR="00697AF1">
        <w:rPr>
          <w:rFonts w:ascii="Times New Roman" w:hAnsi="Times New Roman" w:cs="Times New Roman"/>
        </w:rPr>
        <w:t>to receive training in each round</w:t>
      </w:r>
      <w:r w:rsidRPr="00092C13">
        <w:rPr>
          <w:rFonts w:ascii="Times New Roman" w:hAnsi="Times New Roman" w:cs="Times New Roman"/>
        </w:rPr>
        <w:t xml:space="preserve"> will be further assigned to recei</w:t>
      </w:r>
      <w:r w:rsidR="0015498A">
        <w:rPr>
          <w:rFonts w:ascii="Times New Roman" w:hAnsi="Times New Roman" w:cs="Times New Roman"/>
        </w:rPr>
        <w:t xml:space="preserve">ve training in different ways. </w:t>
      </w:r>
      <w:r w:rsidRPr="00092C13">
        <w:rPr>
          <w:rFonts w:ascii="Times New Roman" w:hAnsi="Times New Roman" w:cs="Times New Roman"/>
        </w:rPr>
        <w:t>The sample of</w:t>
      </w:r>
      <w:r w:rsidR="00697AF1">
        <w:rPr>
          <w:rFonts w:ascii="Times New Roman" w:hAnsi="Times New Roman" w:cs="Times New Roman"/>
        </w:rPr>
        <w:t xml:space="preserve"> participants in each of the</w:t>
      </w:r>
      <w:r w:rsidRPr="00092C13">
        <w:rPr>
          <w:rFonts w:ascii="Times New Roman" w:hAnsi="Times New Roman" w:cs="Times New Roman"/>
        </w:rPr>
        <w:t xml:space="preserve"> BDS courses will be randomly divided in half.  One half will be assigned to receive training in ordinary classes.  The other half will be assigned to pairs, and will receive training in classes comprising pairs of students rather than individual students.  This is to test the subsidiary hypothesis that training is more effective if girls are provided with support from a training partner. </w:t>
      </w:r>
    </w:p>
    <w:p w:rsidR="00F46CB0" w:rsidRDefault="00F46CB0" w:rsidP="00092C13">
      <w:pPr>
        <w:spacing w:after="0"/>
        <w:jc w:val="both"/>
        <w:rPr>
          <w:rFonts w:ascii="Times New Roman" w:hAnsi="Times New Roman" w:cs="Times New Roman"/>
        </w:rPr>
      </w:pPr>
    </w:p>
    <w:p w:rsidR="00656C37" w:rsidRPr="00092C13" w:rsidRDefault="00B374EB" w:rsidP="00092C13">
      <w:pPr>
        <w:spacing w:after="0"/>
        <w:jc w:val="both"/>
        <w:rPr>
          <w:rFonts w:ascii="Times New Roman" w:hAnsi="Times New Roman" w:cs="Times New Roman"/>
        </w:rPr>
      </w:pPr>
      <w:r>
        <w:rPr>
          <w:rFonts w:ascii="Times New Roman" w:hAnsi="Times New Roman" w:cs="Times New Roman"/>
        </w:rPr>
        <w:t>All participants in WE classes will be trained usi</w:t>
      </w:r>
      <w:r w:rsidR="00236659">
        <w:rPr>
          <w:rFonts w:ascii="Times New Roman" w:hAnsi="Times New Roman" w:cs="Times New Roman"/>
        </w:rPr>
        <w:t>ng the paired</w:t>
      </w:r>
      <w:r>
        <w:rPr>
          <w:rFonts w:ascii="Times New Roman" w:hAnsi="Times New Roman" w:cs="Times New Roman"/>
        </w:rPr>
        <w:t xml:space="preserve"> approach. </w:t>
      </w:r>
      <w:r w:rsidR="00236659">
        <w:rPr>
          <w:rFonts w:ascii="Times New Roman" w:hAnsi="Times New Roman" w:cs="Times New Roman"/>
        </w:rPr>
        <w:t>However, to ensure participation of younger women</w:t>
      </w:r>
      <w:r w:rsidR="000C0348">
        <w:rPr>
          <w:rFonts w:ascii="Times New Roman" w:hAnsi="Times New Roman" w:cs="Times New Roman"/>
        </w:rPr>
        <w:t xml:space="preserve"> in WE classes</w:t>
      </w:r>
      <w:r w:rsidR="00236659">
        <w:rPr>
          <w:rFonts w:ascii="Times New Roman" w:hAnsi="Times New Roman" w:cs="Times New Roman"/>
        </w:rPr>
        <w:t xml:space="preserve">, and to test explicitly the impact of the program on this group, women </w:t>
      </w:r>
      <w:r w:rsidR="003B668A">
        <w:rPr>
          <w:rFonts w:ascii="Times New Roman" w:hAnsi="Times New Roman" w:cs="Times New Roman"/>
        </w:rPr>
        <w:t xml:space="preserve">in WE classes </w:t>
      </w:r>
      <w:r w:rsidR="00F46CB0">
        <w:rPr>
          <w:rFonts w:ascii="Times New Roman" w:hAnsi="Times New Roman" w:cs="Times New Roman"/>
        </w:rPr>
        <w:t xml:space="preserve">will be stratified by age: those </w:t>
      </w:r>
      <w:r w:rsidR="00236659">
        <w:rPr>
          <w:rFonts w:ascii="Times New Roman" w:hAnsi="Times New Roman" w:cs="Times New Roman"/>
        </w:rPr>
        <w:t xml:space="preserve">aged 16-18 will be recruited and selected separately than women aged 19-24. </w:t>
      </w:r>
      <w:r w:rsidR="00BF5F50">
        <w:rPr>
          <w:rFonts w:ascii="Times New Roman" w:hAnsi="Times New Roman" w:cs="Times New Roman"/>
        </w:rPr>
        <w:t xml:space="preserve">This design decision follows from the observation that previous job training programs for women have struggled to enroll and retain women from this younger age group. </w:t>
      </w:r>
    </w:p>
    <w:p w:rsidR="00656C37" w:rsidRPr="00092C13" w:rsidRDefault="00656C37" w:rsidP="00092C13">
      <w:pPr>
        <w:spacing w:after="0"/>
        <w:jc w:val="both"/>
        <w:rPr>
          <w:rFonts w:ascii="Times New Roman" w:hAnsi="Times New Roman" w:cs="Times New Roman"/>
        </w:rPr>
      </w:pPr>
    </w:p>
    <w:p w:rsidR="00656C37" w:rsidRPr="00092C13" w:rsidRDefault="00656C37" w:rsidP="00092C13">
      <w:pPr>
        <w:spacing w:after="0"/>
        <w:jc w:val="both"/>
        <w:rPr>
          <w:rFonts w:ascii="Times New Roman" w:hAnsi="Times New Roman" w:cs="Times New Roman"/>
        </w:rPr>
      </w:pPr>
      <w:r w:rsidRPr="00092C13">
        <w:rPr>
          <w:rFonts w:ascii="Times New Roman" w:hAnsi="Times New Roman" w:cs="Times New Roman"/>
        </w:rPr>
        <w:t>Trainin</w:t>
      </w:r>
      <w:r w:rsidR="00697AF1">
        <w:rPr>
          <w:rFonts w:ascii="Times New Roman" w:hAnsi="Times New Roman" w:cs="Times New Roman"/>
        </w:rPr>
        <w:t>g will be conducted in two rounds</w:t>
      </w:r>
      <w:r w:rsidRPr="00092C13">
        <w:rPr>
          <w:rFonts w:ascii="Times New Roman" w:hAnsi="Times New Roman" w:cs="Times New Roman"/>
        </w:rPr>
        <w:t xml:space="preserve">.  </w:t>
      </w:r>
      <w:r w:rsidR="00E85CD2">
        <w:rPr>
          <w:rFonts w:ascii="Times New Roman" w:hAnsi="Times New Roman" w:cs="Times New Roman"/>
        </w:rPr>
        <w:t xml:space="preserve">Both the treatment and control groups </w:t>
      </w:r>
      <w:r w:rsidRPr="00092C13">
        <w:rPr>
          <w:rFonts w:ascii="Times New Roman" w:hAnsi="Times New Roman" w:cs="Times New Roman"/>
        </w:rPr>
        <w:t>will be f</w:t>
      </w:r>
      <w:r w:rsidR="00E85CD2">
        <w:rPr>
          <w:rFonts w:ascii="Times New Roman" w:hAnsi="Times New Roman" w:cs="Times New Roman"/>
        </w:rPr>
        <w:t>ollowed-up and interviewed three times</w:t>
      </w:r>
      <w:r w:rsidRPr="00092C13">
        <w:rPr>
          <w:rFonts w:ascii="Times New Roman" w:hAnsi="Times New Roman" w:cs="Times New Roman"/>
        </w:rPr>
        <w:t xml:space="preserve"> – </w:t>
      </w:r>
      <w:r w:rsidR="00E85CD2">
        <w:rPr>
          <w:rFonts w:ascii="Times New Roman" w:hAnsi="Times New Roman" w:cs="Times New Roman"/>
        </w:rPr>
        <w:t xml:space="preserve">first at baseline, second at the end of the first round of training (approximately one year after baseline), and third at the end of the second round of training. </w:t>
      </w:r>
      <w:r w:rsidRPr="00092C13">
        <w:rPr>
          <w:rFonts w:ascii="Times New Roman" w:hAnsi="Times New Roman" w:cs="Times New Roman"/>
        </w:rPr>
        <w:t xml:space="preserve">In each round, the control group will be defined as those who are selected into the </w:t>
      </w:r>
      <w:r w:rsidRPr="00092C13">
        <w:rPr>
          <w:rFonts w:ascii="Times New Roman" w:hAnsi="Times New Roman" w:cs="Times New Roman"/>
        </w:rPr>
        <w:lastRenderedPageBreak/>
        <w:t>program, but for whom the courses do not yet have a space available.  Given the structure of the control design, and as a principle</w:t>
      </w:r>
      <w:r w:rsidR="00AF5690">
        <w:rPr>
          <w:rFonts w:ascii="Times New Roman" w:hAnsi="Times New Roman" w:cs="Times New Roman"/>
        </w:rPr>
        <w:t xml:space="preserve"> of ethical programming, there is</w:t>
      </w:r>
      <w:r w:rsidRPr="00092C13">
        <w:rPr>
          <w:rFonts w:ascii="Times New Roman" w:hAnsi="Times New Roman" w:cs="Times New Roman"/>
        </w:rPr>
        <w:t xml:space="preserve"> an obligation to provide training to tho</w:t>
      </w:r>
      <w:r w:rsidR="00AF5690">
        <w:rPr>
          <w:rFonts w:ascii="Times New Roman" w:hAnsi="Times New Roman" w:cs="Times New Roman"/>
        </w:rPr>
        <w:t>se in the control groups who were promised training</w:t>
      </w:r>
      <w:r w:rsidRPr="00092C13">
        <w:rPr>
          <w:rFonts w:ascii="Times New Roman" w:hAnsi="Times New Roman" w:cs="Times New Roman"/>
        </w:rPr>
        <w:t>.  This obligation, together with a number of other conside</w:t>
      </w:r>
      <w:r w:rsidR="00AF5690">
        <w:rPr>
          <w:rFonts w:ascii="Times New Roman" w:hAnsi="Times New Roman" w:cs="Times New Roman"/>
        </w:rPr>
        <w:t>rations discussed below, led</w:t>
      </w:r>
      <w:r w:rsidRPr="00092C13">
        <w:rPr>
          <w:rFonts w:ascii="Times New Roman" w:hAnsi="Times New Roman" w:cs="Times New Roman"/>
        </w:rPr>
        <w:t xml:space="preserve"> to the experimental design described here.</w:t>
      </w:r>
    </w:p>
    <w:p w:rsidR="00656C37" w:rsidRPr="00092C13" w:rsidRDefault="00656C37" w:rsidP="00092C13">
      <w:pPr>
        <w:spacing w:after="0"/>
        <w:jc w:val="both"/>
        <w:rPr>
          <w:rFonts w:ascii="Times New Roman" w:hAnsi="Times New Roman" w:cs="Times New Roman"/>
        </w:rPr>
      </w:pPr>
    </w:p>
    <w:p w:rsidR="00656C37" w:rsidRPr="00092C13" w:rsidRDefault="007F7F97" w:rsidP="00092C13">
      <w:pPr>
        <w:spacing w:after="0"/>
        <w:jc w:val="both"/>
        <w:rPr>
          <w:rFonts w:ascii="Times New Roman" w:hAnsi="Times New Roman" w:cs="Times New Roman"/>
        </w:rPr>
      </w:pPr>
      <w:r>
        <w:rPr>
          <w:rFonts w:ascii="Times New Roman" w:hAnsi="Times New Roman" w:cs="Times New Roman"/>
        </w:rPr>
        <w:t>Figure 1</w:t>
      </w:r>
      <w:r w:rsidR="00656C37" w:rsidRPr="00092C13">
        <w:rPr>
          <w:rFonts w:ascii="Times New Roman" w:hAnsi="Times New Roman" w:cs="Times New Roman"/>
        </w:rPr>
        <w:t xml:space="preserve"> describes the structure of the experimental design and assignment and the flow of participants across experimental groups and sur</w:t>
      </w:r>
      <w:r w:rsidR="00E85CD2">
        <w:rPr>
          <w:rFonts w:ascii="Times New Roman" w:hAnsi="Times New Roman" w:cs="Times New Roman"/>
        </w:rPr>
        <w:t>vey rounds.  In addition, t</w:t>
      </w:r>
      <w:r w:rsidR="00656C37" w:rsidRPr="00092C13">
        <w:rPr>
          <w:rFonts w:ascii="Times New Roman" w:hAnsi="Times New Roman" w:cs="Times New Roman"/>
        </w:rPr>
        <w:t xml:space="preserve">he number of </w:t>
      </w:r>
      <w:r w:rsidR="00E85CD2">
        <w:rPr>
          <w:rFonts w:ascii="Times New Roman" w:hAnsi="Times New Roman" w:cs="Times New Roman"/>
        </w:rPr>
        <w:t xml:space="preserve">participants in each </w:t>
      </w:r>
      <w:r w:rsidR="00274A8E">
        <w:rPr>
          <w:rFonts w:ascii="Times New Roman" w:hAnsi="Times New Roman" w:cs="Times New Roman"/>
        </w:rPr>
        <w:t>experimental</w:t>
      </w:r>
      <w:r w:rsidR="006A1A29">
        <w:rPr>
          <w:rFonts w:ascii="Times New Roman" w:hAnsi="Times New Roman" w:cs="Times New Roman"/>
        </w:rPr>
        <w:t xml:space="preserve"> arm</w:t>
      </w:r>
      <w:r w:rsidR="00656C37" w:rsidRPr="00092C13">
        <w:rPr>
          <w:rFonts w:ascii="Times New Roman" w:hAnsi="Times New Roman" w:cs="Times New Roman"/>
        </w:rPr>
        <w:t xml:space="preserve"> is described </w:t>
      </w:r>
      <w:r w:rsidR="00E85CD2">
        <w:rPr>
          <w:rFonts w:ascii="Times New Roman" w:hAnsi="Times New Roman" w:cs="Times New Roman"/>
        </w:rPr>
        <w:t>in Table 1</w:t>
      </w:r>
      <w:r w:rsidR="00656C37" w:rsidRPr="00092C13">
        <w:rPr>
          <w:rFonts w:ascii="Times New Roman" w:hAnsi="Times New Roman" w:cs="Times New Roman"/>
        </w:rPr>
        <w:t xml:space="preserve">.  </w:t>
      </w:r>
    </w:p>
    <w:p w:rsidR="00656C37" w:rsidRPr="00092C13" w:rsidRDefault="00656C37" w:rsidP="00092C13">
      <w:pPr>
        <w:spacing w:after="0"/>
        <w:jc w:val="both"/>
        <w:rPr>
          <w:rFonts w:ascii="Times New Roman" w:hAnsi="Times New Roman" w:cs="Times New Roman"/>
        </w:rPr>
      </w:pPr>
    </w:p>
    <w:p w:rsidR="00656C37" w:rsidRPr="00092C13" w:rsidRDefault="00656C37" w:rsidP="00092C13">
      <w:pPr>
        <w:spacing w:after="0"/>
        <w:jc w:val="both"/>
        <w:rPr>
          <w:rFonts w:ascii="Times New Roman" w:hAnsi="Times New Roman" w:cs="Times New Roman"/>
        </w:rPr>
      </w:pPr>
      <w:r w:rsidRPr="00092C13">
        <w:rPr>
          <w:rFonts w:ascii="Times New Roman" w:hAnsi="Times New Roman" w:cs="Times New Roman"/>
          <w:b/>
          <w:i/>
        </w:rPr>
        <w:t>Survey design</w:t>
      </w:r>
      <w:r w:rsidRPr="00092C13">
        <w:rPr>
          <w:rFonts w:ascii="Times New Roman" w:hAnsi="Times New Roman" w:cs="Times New Roman"/>
        </w:rPr>
        <w:t xml:space="preserve">.  This study will consist of at least three types of questionnaires: baseline, exit poll for training participants, and follow-up surveys.  In addition, the evaluation will include some key-informant-type interviews with local community and business leaders in the nine selected sites.  This will provide information on the opportunities available in these communities, and the constraints to entering the labor market or establishing a business in the area. </w:t>
      </w:r>
    </w:p>
    <w:p w:rsidR="00656C37" w:rsidRPr="00092C13" w:rsidRDefault="00656C37" w:rsidP="00092C13">
      <w:pPr>
        <w:spacing w:after="0"/>
        <w:jc w:val="both"/>
        <w:rPr>
          <w:rFonts w:ascii="Times New Roman" w:hAnsi="Times New Roman" w:cs="Times New Roman"/>
        </w:rPr>
      </w:pPr>
    </w:p>
    <w:p w:rsidR="00656C37" w:rsidRPr="00092C13" w:rsidRDefault="00656C37" w:rsidP="00092C13">
      <w:pPr>
        <w:spacing w:after="0"/>
        <w:jc w:val="both"/>
        <w:rPr>
          <w:rFonts w:ascii="Times New Roman" w:hAnsi="Times New Roman" w:cs="Times New Roman"/>
        </w:rPr>
      </w:pPr>
      <w:r w:rsidRPr="00092C13">
        <w:rPr>
          <w:rFonts w:ascii="Times New Roman" w:hAnsi="Times New Roman" w:cs="Times New Roman"/>
        </w:rPr>
        <w:t>The baseline questionnaire will consist of standard household-survey-type questions, but will not be as exhaustive or time-consuming.  It will collect information on the young woman, her history and experience, her family, her (and her family’s) assets, her community, her choices, her attitudes and hopes for the future.  These latter questions will most likely be self-reported beliefs, but we may include modules to measure discount rates and other characteristics more quantitatively.  The follow-up questionnaires will resemble the baseline questionnaire as closely as possible.  This will enable the comparison of changes in attitudes and behavior over time.  In addition, the follow-up surveys will include questions on the business and employment experiences of the young women since the completion of their training.</w:t>
      </w:r>
    </w:p>
    <w:p w:rsidR="00656C37" w:rsidRPr="00092C13" w:rsidRDefault="00656C37" w:rsidP="00092C13">
      <w:pPr>
        <w:spacing w:after="0"/>
        <w:jc w:val="both"/>
        <w:rPr>
          <w:rFonts w:ascii="Times New Roman" w:hAnsi="Times New Roman" w:cs="Times New Roman"/>
        </w:rPr>
      </w:pPr>
    </w:p>
    <w:p w:rsidR="00656C37" w:rsidRPr="00092C13" w:rsidRDefault="00656C37" w:rsidP="00092C13">
      <w:pPr>
        <w:spacing w:after="0"/>
        <w:jc w:val="both"/>
        <w:rPr>
          <w:rFonts w:ascii="Times New Roman" w:hAnsi="Times New Roman" w:cs="Times New Roman"/>
        </w:rPr>
      </w:pPr>
      <w:r w:rsidRPr="00092C13">
        <w:rPr>
          <w:rFonts w:ascii="Times New Roman" w:hAnsi="Times New Roman" w:cs="Times New Roman"/>
        </w:rPr>
        <w:t>Immediately following each round of training, the training participants will be asked to complete a short exit survey.  This is intended to collect information on the participants’ views of their training, the content, pedagogy, and trainers.  In addition, this survey will elicit information that might help to understand the characteristics of the participants and their environments during the training period that influence their performance during the training course.  This survey will be no longer than two pages (four sides), and can be completed in half an hour or less.</w:t>
      </w:r>
    </w:p>
    <w:p w:rsidR="00656C37" w:rsidRPr="00092C13" w:rsidRDefault="00656C37" w:rsidP="00092C13">
      <w:pPr>
        <w:spacing w:after="0"/>
        <w:jc w:val="both"/>
        <w:rPr>
          <w:rFonts w:ascii="Times New Roman" w:hAnsi="Times New Roman" w:cs="Times New Roman"/>
        </w:rPr>
      </w:pPr>
    </w:p>
    <w:p w:rsidR="00656C37" w:rsidRPr="00092C13" w:rsidRDefault="00656C37" w:rsidP="00092C13">
      <w:pPr>
        <w:spacing w:after="0"/>
        <w:jc w:val="both"/>
        <w:rPr>
          <w:rFonts w:ascii="Times New Roman" w:hAnsi="Times New Roman" w:cs="Times New Roman"/>
        </w:rPr>
      </w:pPr>
      <w:r w:rsidRPr="00092C13">
        <w:rPr>
          <w:rFonts w:ascii="Times New Roman" w:hAnsi="Times New Roman" w:cs="Times New Roman"/>
        </w:rPr>
        <w:t xml:space="preserve">The survey firm will have the primary responsibility for the design of the survey instruments, in close collaboration with the Ministry of Gender and Development and the World Bank team.   </w:t>
      </w:r>
    </w:p>
    <w:p w:rsidR="00656C37" w:rsidRPr="00092C13" w:rsidRDefault="00656C37" w:rsidP="00092C13">
      <w:pPr>
        <w:spacing w:after="0"/>
        <w:jc w:val="both"/>
        <w:rPr>
          <w:rFonts w:ascii="Times New Roman" w:hAnsi="Times New Roman" w:cs="Times New Roman"/>
        </w:rPr>
      </w:pPr>
    </w:p>
    <w:p w:rsidR="00656C37" w:rsidRPr="00092C13" w:rsidRDefault="00656C37" w:rsidP="00092C13">
      <w:pPr>
        <w:spacing w:after="0"/>
        <w:jc w:val="both"/>
        <w:rPr>
          <w:rFonts w:ascii="Times New Roman" w:hAnsi="Times New Roman" w:cs="Times New Roman"/>
        </w:rPr>
      </w:pPr>
      <w:r w:rsidRPr="00092C13">
        <w:rPr>
          <w:rFonts w:ascii="Times New Roman" w:hAnsi="Times New Roman" w:cs="Times New Roman"/>
          <w:b/>
          <w:i/>
        </w:rPr>
        <w:t>Timing</w:t>
      </w:r>
      <w:r w:rsidRPr="00092C13">
        <w:rPr>
          <w:rFonts w:ascii="Times New Roman" w:hAnsi="Times New Roman" w:cs="Times New Roman"/>
        </w:rPr>
        <w:t>.  This pilot project will be</w:t>
      </w:r>
      <w:r w:rsidR="007F7F97">
        <w:rPr>
          <w:rFonts w:ascii="Times New Roman" w:hAnsi="Times New Roman" w:cs="Times New Roman"/>
        </w:rPr>
        <w:t xml:space="preserve"> conducted over approximately 30 months.  Figure 2</w:t>
      </w:r>
      <w:r w:rsidRPr="00092C13">
        <w:rPr>
          <w:rFonts w:ascii="Times New Roman" w:hAnsi="Times New Roman" w:cs="Times New Roman"/>
        </w:rPr>
        <w:t xml:space="preserve"> shows a likely</w:t>
      </w:r>
      <w:r w:rsidR="00F849E5">
        <w:rPr>
          <w:rFonts w:ascii="Times New Roman" w:hAnsi="Times New Roman" w:cs="Times New Roman"/>
        </w:rPr>
        <w:t xml:space="preserve"> timetable for the evaluation. </w:t>
      </w:r>
      <w:r w:rsidRPr="00092C13">
        <w:rPr>
          <w:rFonts w:ascii="Times New Roman" w:hAnsi="Times New Roman" w:cs="Times New Roman"/>
        </w:rPr>
        <w:t>Within the first mon</w:t>
      </w:r>
      <w:r w:rsidR="007F7F97">
        <w:rPr>
          <w:rFonts w:ascii="Times New Roman" w:hAnsi="Times New Roman" w:cs="Times New Roman"/>
        </w:rPr>
        <w:t>th, the evaluation firm will begin</w:t>
      </w:r>
      <w:r w:rsidRPr="00092C13">
        <w:rPr>
          <w:rFonts w:ascii="Times New Roman" w:hAnsi="Times New Roman" w:cs="Times New Roman"/>
        </w:rPr>
        <w:t xml:space="preserve"> designing and testing the questionnaires.  Recruitment of participants will begin shortly thereafter, with the baseline survey collected immediately following the selection of participants.</w:t>
      </w:r>
    </w:p>
    <w:p w:rsidR="00656C37" w:rsidRPr="00092C13" w:rsidRDefault="00656C37" w:rsidP="00092C13">
      <w:pPr>
        <w:spacing w:after="0"/>
        <w:jc w:val="both"/>
        <w:rPr>
          <w:rFonts w:ascii="Times New Roman" w:hAnsi="Times New Roman" w:cs="Times New Roman"/>
        </w:rPr>
      </w:pPr>
    </w:p>
    <w:p w:rsidR="001E2863" w:rsidRDefault="00656C37" w:rsidP="00092C13">
      <w:pPr>
        <w:jc w:val="both"/>
        <w:rPr>
          <w:rFonts w:ascii="Times New Roman" w:hAnsi="Times New Roman" w:cs="Times New Roman"/>
        </w:rPr>
      </w:pPr>
      <w:r w:rsidRPr="00092C13">
        <w:rPr>
          <w:rFonts w:ascii="Times New Roman" w:hAnsi="Times New Roman" w:cs="Times New Roman"/>
        </w:rPr>
        <w:t>The large surv</w:t>
      </w:r>
      <w:r w:rsidR="00383082">
        <w:rPr>
          <w:rFonts w:ascii="Times New Roman" w:hAnsi="Times New Roman" w:cs="Times New Roman"/>
        </w:rPr>
        <w:t>eys (baseline and follow-up) will be</w:t>
      </w:r>
      <w:r w:rsidRPr="00092C13">
        <w:rPr>
          <w:rFonts w:ascii="Times New Roman" w:hAnsi="Times New Roman" w:cs="Times New Roman"/>
        </w:rPr>
        <w:t xml:space="preserve"> scheduled at approximately one year intervals.  This is partly to give the intervention some time to work.  It is unlikely that the training participants will be able to find employment or establish businesses within a mere few months.  The differences in the follow-up periods between the group</w:t>
      </w:r>
      <w:r w:rsidR="00383082">
        <w:rPr>
          <w:rFonts w:ascii="Times New Roman" w:hAnsi="Times New Roman" w:cs="Times New Roman"/>
        </w:rPr>
        <w:t>s</w:t>
      </w:r>
      <w:r w:rsidRPr="00092C13">
        <w:rPr>
          <w:rFonts w:ascii="Times New Roman" w:hAnsi="Times New Roman" w:cs="Times New Roman"/>
        </w:rPr>
        <w:t xml:space="preserve"> getting training in different rounds </w:t>
      </w:r>
      <w:r w:rsidRPr="00092C13">
        <w:rPr>
          <w:rFonts w:ascii="Times New Roman" w:hAnsi="Times New Roman" w:cs="Times New Roman"/>
        </w:rPr>
        <w:lastRenderedPageBreak/>
        <w:t xml:space="preserve">will provide some information to examine that question, as well as the question of whether the effects of training attenuate or (conversely) increase with time. </w:t>
      </w:r>
    </w:p>
    <w:p w:rsidR="001E2863" w:rsidRPr="00092C13" w:rsidRDefault="001E2863" w:rsidP="001E2863">
      <w:pPr>
        <w:spacing w:after="0"/>
        <w:jc w:val="both"/>
        <w:rPr>
          <w:rFonts w:ascii="Times New Roman" w:hAnsi="Times New Roman" w:cs="Times New Roman"/>
        </w:rPr>
      </w:pPr>
      <w:r w:rsidRPr="00092C13">
        <w:rPr>
          <w:rFonts w:ascii="Times New Roman" w:hAnsi="Times New Roman" w:cs="Times New Roman"/>
          <w:b/>
          <w:i/>
        </w:rPr>
        <w:t>Statistical power calculations</w:t>
      </w:r>
      <w:r w:rsidRPr="00092C13">
        <w:rPr>
          <w:rFonts w:ascii="Times New Roman" w:hAnsi="Times New Roman" w:cs="Times New Roman"/>
          <w:b/>
        </w:rPr>
        <w:t>.</w:t>
      </w:r>
      <w:r w:rsidRPr="00092C13">
        <w:rPr>
          <w:rFonts w:ascii="Times New Roman" w:hAnsi="Times New Roman" w:cs="Times New Roman"/>
        </w:rPr>
        <w:t xml:space="preserve">  Given the fixed budget, the cost of the intervention will largely determine the number of participants.  This in turn will determine the statistical power of the int</w:t>
      </w:r>
      <w:r w:rsidR="00383082">
        <w:rPr>
          <w:rFonts w:ascii="Times New Roman" w:hAnsi="Times New Roman" w:cs="Times New Roman"/>
        </w:rPr>
        <w:t>ervention’s evaluation.  Table 1</w:t>
      </w:r>
      <w:r w:rsidRPr="00092C13">
        <w:rPr>
          <w:rFonts w:ascii="Times New Roman" w:hAnsi="Times New Roman" w:cs="Times New Roman"/>
        </w:rPr>
        <w:t xml:space="preserve"> shows the approximate number of participants in each survey round, including both the full surveys of participants and the short exit polls of those leaving training.  At the end of the project, the evaluation team will have conducted roughly 10,000 surveys – 7500 full surveys and 2500 exit polls.  These 7500 consist of 2500 at baseline, 1250 on the control group, 2250 on the entrepreneurship training, and 1500 on wage training.  These numbers include 1875 surveys on those who receive training in pairs and individually.  </w:t>
      </w:r>
    </w:p>
    <w:p w:rsidR="001E2863" w:rsidRPr="00092C13" w:rsidRDefault="001E2863" w:rsidP="001E2863">
      <w:pPr>
        <w:spacing w:after="0"/>
        <w:jc w:val="both"/>
        <w:rPr>
          <w:rFonts w:ascii="Times New Roman" w:hAnsi="Times New Roman" w:cs="Times New Roman"/>
        </w:rPr>
      </w:pPr>
    </w:p>
    <w:p w:rsidR="001E2863" w:rsidRPr="00092C13" w:rsidRDefault="001E2863" w:rsidP="001E2863">
      <w:pPr>
        <w:spacing w:after="0"/>
        <w:jc w:val="both"/>
        <w:rPr>
          <w:rFonts w:ascii="Times New Roman" w:hAnsi="Times New Roman" w:cs="Times New Roman"/>
        </w:rPr>
      </w:pPr>
      <w:r w:rsidRPr="00092C13">
        <w:rPr>
          <w:rFonts w:ascii="Times New Roman" w:hAnsi="Times New Roman" w:cs="Times New Roman"/>
        </w:rPr>
        <w:t xml:space="preserve">The 7500 full surveys will form the database on which we can analysis the program’s impact; this comprises 1250 observations on the control group, and 3750 observations on 2500 young women who come through the training program.  Half of the young women in the sample serve both in the control group and in the treatment group (in round 2).  Repeated observations on individuals cannot be treated as truly independent.  Moreover, the outcomes of the young women who receive training in pairs are by expectation correlated.  This is a positive thing for the training, but it complicates the evaluation, which must take account of the possibility that the outcomes are due to the correlation of outcomes within pairs rather than the impact of the training.  This problem is known as the </w:t>
      </w:r>
      <w:smartTag w:uri="urn:schemas-microsoft-com:office:smarttags" w:element="place">
        <w:smartTag w:uri="urn:schemas-microsoft-com:office:smarttags" w:element="City">
          <w:r w:rsidRPr="00092C13">
            <w:rPr>
              <w:rFonts w:ascii="Times New Roman" w:hAnsi="Times New Roman" w:cs="Times New Roman"/>
            </w:rPr>
            <w:t>Kish</w:t>
          </w:r>
        </w:smartTag>
      </w:smartTag>
      <w:r w:rsidRPr="00092C13">
        <w:rPr>
          <w:rFonts w:ascii="Times New Roman" w:hAnsi="Times New Roman" w:cs="Times New Roman"/>
        </w:rPr>
        <w:t xml:space="preserve"> design effect of intracluster correlation.  Happily, despite the clustering, the sample size provides very good statistical power to detect differences between the control and treatment groups, given that a difference really exists.  </w:t>
      </w:r>
    </w:p>
    <w:p w:rsidR="001E2863" w:rsidRPr="00092C13" w:rsidRDefault="001E2863" w:rsidP="001E2863">
      <w:pPr>
        <w:spacing w:after="0"/>
        <w:jc w:val="both"/>
        <w:rPr>
          <w:rFonts w:ascii="Times New Roman" w:hAnsi="Times New Roman" w:cs="Times New Roman"/>
        </w:rPr>
      </w:pPr>
    </w:p>
    <w:p w:rsidR="001E2863" w:rsidRPr="00092C13" w:rsidRDefault="001E2863" w:rsidP="001E2863">
      <w:pPr>
        <w:spacing w:after="0"/>
        <w:jc w:val="both"/>
        <w:rPr>
          <w:rFonts w:ascii="Times New Roman" w:hAnsi="Times New Roman" w:cs="Times New Roman"/>
        </w:rPr>
      </w:pPr>
      <w:r w:rsidRPr="00092C13">
        <w:rPr>
          <w:rFonts w:ascii="Times New Roman" w:hAnsi="Times New Roman" w:cs="Times New Roman"/>
        </w:rPr>
        <w:t xml:space="preserve">There have been few studies of similar training programs in developing countries.  Card et al. (2007) found that a training program in the </w:t>
      </w:r>
      <w:smartTag w:uri="urn:schemas-microsoft-com:office:smarttags" w:element="country-region">
        <w:r w:rsidRPr="00092C13">
          <w:rPr>
            <w:rFonts w:ascii="Times New Roman" w:hAnsi="Times New Roman" w:cs="Times New Roman"/>
          </w:rPr>
          <w:t>Dominican Republic</w:t>
        </w:r>
      </w:smartTag>
      <w:r w:rsidRPr="00092C13">
        <w:rPr>
          <w:rFonts w:ascii="Times New Roman" w:hAnsi="Times New Roman" w:cs="Times New Roman"/>
        </w:rPr>
        <w:t xml:space="preserve"> increased the incomes of participants by 10 percent, relative to those who had not received the training; Polanco (2007) found that a different training program, also in the </w:t>
      </w:r>
      <w:smartTag w:uri="urn:schemas-microsoft-com:office:smarttags" w:element="place">
        <w:smartTag w:uri="urn:schemas-microsoft-com:office:smarttags" w:element="country-region">
          <w:r w:rsidRPr="00092C13">
            <w:rPr>
              <w:rFonts w:ascii="Times New Roman" w:hAnsi="Times New Roman" w:cs="Times New Roman"/>
            </w:rPr>
            <w:t>Dominican Republic</w:t>
          </w:r>
        </w:smartTag>
      </w:smartTag>
      <w:r w:rsidRPr="00092C13">
        <w:rPr>
          <w:rFonts w:ascii="Times New Roman" w:hAnsi="Times New Roman" w:cs="Times New Roman"/>
        </w:rPr>
        <w:t xml:space="preserve">, increased incomes of participants by 24 percent.  Other studies from </w:t>
      </w:r>
      <w:smartTag w:uri="urn:schemas-microsoft-com:office:smarttags" w:element="place">
        <w:smartTag w:uri="urn:schemas-microsoft-com:office:smarttags" w:element="country-region">
          <w:r w:rsidRPr="00092C13">
            <w:rPr>
              <w:rFonts w:ascii="Times New Roman" w:hAnsi="Times New Roman" w:cs="Times New Roman"/>
            </w:rPr>
            <w:t>Peru</w:t>
          </w:r>
        </w:smartTag>
      </w:smartTag>
      <w:r w:rsidRPr="00092C13">
        <w:rPr>
          <w:rFonts w:ascii="Times New Roman" w:hAnsi="Times New Roman" w:cs="Times New Roman"/>
        </w:rPr>
        <w:t xml:space="preserve"> find increases of 12-60 percent after 6 months, and 13-40 percent after one year (Card et al. 2007).  </w:t>
      </w:r>
    </w:p>
    <w:p w:rsidR="001E2863" w:rsidRPr="00092C13" w:rsidRDefault="001E2863" w:rsidP="001E2863">
      <w:pPr>
        <w:spacing w:after="0"/>
        <w:jc w:val="both"/>
        <w:rPr>
          <w:rFonts w:ascii="Times New Roman" w:hAnsi="Times New Roman" w:cs="Times New Roman"/>
        </w:rPr>
      </w:pPr>
    </w:p>
    <w:p w:rsidR="001E2863" w:rsidRPr="00092C13" w:rsidRDefault="001E2863" w:rsidP="001E2863">
      <w:pPr>
        <w:spacing w:after="0"/>
        <w:jc w:val="both"/>
        <w:rPr>
          <w:rFonts w:ascii="Times New Roman" w:hAnsi="Times New Roman" w:cs="Times New Roman"/>
        </w:rPr>
      </w:pPr>
      <w:r w:rsidRPr="00092C13">
        <w:rPr>
          <w:rFonts w:ascii="Times New Roman" w:hAnsi="Times New Roman" w:cs="Times New Roman"/>
        </w:rPr>
        <w:t>Taking the more conservative estimate, we will be able to confirm rigorously a 10 percent difference between control and treatment groups, and between the two treatment groups, with 95 percent confidence, with a power of greater than 95 percent. If the true difference between the groups is larger, the statistical power of the study quickly approaches 100 percent.  Based on previous studies, we expect that the interventions will yield an improvement in incomes of between 10 and 20 percent.  If we assume a Kish design effect of 1.5, that is, a 50 percent correlation between the participants in the paired training, the statistical power to answer this study’s primary questions is reduced somewhat at the lower end of the expected range of true outcomes, but is otherwise unaffected, due mainly to the relativ</w:t>
      </w:r>
      <w:r w:rsidR="00F849E5">
        <w:rPr>
          <w:rFonts w:ascii="Times New Roman" w:hAnsi="Times New Roman" w:cs="Times New Roman"/>
        </w:rPr>
        <w:t>ely large sample sizes (Figure 3A and 3</w:t>
      </w:r>
      <w:r w:rsidRPr="00092C13">
        <w:rPr>
          <w:rFonts w:ascii="Times New Roman" w:hAnsi="Times New Roman" w:cs="Times New Roman"/>
        </w:rPr>
        <w:t>B).</w:t>
      </w:r>
    </w:p>
    <w:p w:rsidR="001E2863" w:rsidRPr="00092C13" w:rsidRDefault="001E2863" w:rsidP="001E2863">
      <w:pPr>
        <w:spacing w:after="0"/>
        <w:rPr>
          <w:rFonts w:ascii="Times New Roman" w:hAnsi="Times New Roman" w:cs="Times New Roman"/>
        </w:rPr>
      </w:pPr>
    </w:p>
    <w:p w:rsidR="001E2863" w:rsidRPr="00092C13" w:rsidRDefault="001E2863" w:rsidP="001E2863">
      <w:pPr>
        <w:spacing w:after="0"/>
        <w:rPr>
          <w:rFonts w:ascii="Times New Roman" w:hAnsi="Times New Roman" w:cs="Times New Roman"/>
        </w:rPr>
      </w:pPr>
    </w:p>
    <w:p w:rsidR="001E2863" w:rsidRPr="00092C13" w:rsidRDefault="001E2863" w:rsidP="001E2863">
      <w:pPr>
        <w:spacing w:after="0"/>
        <w:rPr>
          <w:rFonts w:ascii="Times New Roman" w:hAnsi="Times New Roman" w:cs="Times New Roman"/>
        </w:rPr>
      </w:pPr>
    </w:p>
    <w:p w:rsidR="001E2863" w:rsidRPr="00092C13" w:rsidRDefault="001E2863" w:rsidP="001E2863">
      <w:pPr>
        <w:spacing w:after="0"/>
        <w:rPr>
          <w:rFonts w:ascii="Times New Roman" w:hAnsi="Times New Roman" w:cs="Times New Roman"/>
          <w:b/>
          <w:noProof/>
        </w:rPr>
      </w:pPr>
    </w:p>
    <w:p w:rsidR="001E2863" w:rsidRPr="00092C13" w:rsidRDefault="001E2863" w:rsidP="001E2863">
      <w:pPr>
        <w:keepNext/>
        <w:spacing w:after="0"/>
        <w:jc w:val="both"/>
        <w:rPr>
          <w:rFonts w:ascii="Times New Roman" w:hAnsi="Times New Roman" w:cs="Times New Roman"/>
          <w:b/>
        </w:rPr>
      </w:pPr>
      <w:r w:rsidRPr="00092C13">
        <w:rPr>
          <w:rFonts w:ascii="Times New Roman" w:hAnsi="Times New Roman" w:cs="Times New Roman"/>
          <w:noProof/>
          <w:sz w:val="20"/>
        </w:rPr>
        <w:drawing>
          <wp:anchor distT="0" distB="0" distL="114300" distR="114300" simplePos="0" relativeHeight="251663360" behindDoc="0" locked="0" layoutInCell="1" allowOverlap="1">
            <wp:simplePos x="0" y="0"/>
            <wp:positionH relativeFrom="column">
              <wp:posOffset>2632710</wp:posOffset>
            </wp:positionH>
            <wp:positionV relativeFrom="paragraph">
              <wp:posOffset>188595</wp:posOffset>
            </wp:positionV>
            <wp:extent cx="2679065" cy="2028825"/>
            <wp:effectExtent l="0" t="0" r="0" b="0"/>
            <wp:wrapTopAndBottom/>
            <wp:docPr id="7" name="Object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Pr="00092C13">
        <w:rPr>
          <w:rFonts w:ascii="Times New Roman" w:hAnsi="Times New Roman" w:cs="Times New Roman"/>
          <w:noProof/>
          <w:sz w:val="20"/>
        </w:rPr>
        <w:drawing>
          <wp:anchor distT="0" distB="0" distL="114300" distR="114300" simplePos="0" relativeHeight="251662336" behindDoc="0" locked="0" layoutInCell="0" allowOverlap="1">
            <wp:simplePos x="0" y="0"/>
            <wp:positionH relativeFrom="column">
              <wp:posOffset>-17145</wp:posOffset>
            </wp:positionH>
            <wp:positionV relativeFrom="paragraph">
              <wp:posOffset>183515</wp:posOffset>
            </wp:positionV>
            <wp:extent cx="2743200" cy="2030730"/>
            <wp:effectExtent l="0" t="0" r="0" b="0"/>
            <wp:wrapTopAndBottom/>
            <wp:docPr id="8" name="Objec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Pr="00092C13">
        <w:rPr>
          <w:rFonts w:ascii="Times New Roman" w:hAnsi="Times New Roman" w:cs="Times New Roman"/>
          <w:b/>
        </w:rPr>
        <w:t>F</w:t>
      </w:r>
      <w:r w:rsidR="00F849E5">
        <w:rPr>
          <w:rFonts w:ascii="Times New Roman" w:hAnsi="Times New Roman" w:cs="Times New Roman"/>
          <w:b/>
        </w:rPr>
        <w:t>igure 3</w:t>
      </w:r>
      <w:r w:rsidRPr="00092C13">
        <w:rPr>
          <w:rFonts w:ascii="Times New Roman" w:hAnsi="Times New Roman" w:cs="Times New Roman"/>
          <w:b/>
        </w:rPr>
        <w:t xml:space="preserve">. Power to detect impact of training (Left: </w:t>
      </w:r>
      <w:smartTag w:uri="urn:schemas-microsoft-com:office:smarttags" w:element="place">
        <w:smartTag w:uri="urn:schemas-microsoft-com:office:smarttags" w:element="City">
          <w:r w:rsidRPr="00092C13">
            <w:rPr>
              <w:rFonts w:ascii="Times New Roman" w:hAnsi="Times New Roman" w:cs="Times New Roman"/>
              <w:b/>
            </w:rPr>
            <w:t>Kish</w:t>
          </w:r>
        </w:smartTag>
      </w:smartTag>
      <w:r w:rsidRPr="00092C13">
        <w:rPr>
          <w:rFonts w:ascii="Times New Roman" w:hAnsi="Times New Roman" w:cs="Times New Roman"/>
          <w:b/>
        </w:rPr>
        <w:t xml:space="preserve"> deff = 1, Right, deff = 1.5).</w:t>
      </w:r>
    </w:p>
    <w:p w:rsidR="001E2863" w:rsidRPr="002E4421" w:rsidRDefault="001E2863" w:rsidP="002E4421">
      <w:pPr>
        <w:spacing w:after="0"/>
        <w:rPr>
          <w:rFonts w:ascii="Times New Roman" w:hAnsi="Times New Roman" w:cs="Times New Roman"/>
        </w:rPr>
      </w:pPr>
    </w:p>
    <w:p w:rsidR="001E2863" w:rsidRPr="002E4421" w:rsidRDefault="001E2863" w:rsidP="002E4421">
      <w:pPr>
        <w:spacing w:after="0"/>
        <w:rPr>
          <w:rFonts w:ascii="Times New Roman" w:hAnsi="Times New Roman" w:cs="Times New Roman"/>
        </w:rPr>
      </w:pPr>
    </w:p>
    <w:p w:rsidR="001E2863" w:rsidRPr="002E4421" w:rsidRDefault="00B60638" w:rsidP="002E4421">
      <w:pPr>
        <w:pStyle w:val="FootnoteText"/>
        <w:spacing w:line="276" w:lineRule="auto"/>
        <w:jc w:val="both"/>
        <w:rPr>
          <w:sz w:val="22"/>
          <w:szCs w:val="22"/>
        </w:rPr>
      </w:pPr>
      <w:fldSimple w:instr="ref  \* MERGEFORMAT " w:fldLock="1"/>
      <w:r w:rsidR="001E2863" w:rsidRPr="002E4421">
        <w:rPr>
          <w:b/>
          <w:i/>
          <w:sz w:val="22"/>
          <w:szCs w:val="22"/>
        </w:rPr>
        <w:t>External validity and replicability</w:t>
      </w:r>
      <w:r w:rsidR="001E2863" w:rsidRPr="002E4421">
        <w:rPr>
          <w:b/>
          <w:sz w:val="22"/>
          <w:szCs w:val="22"/>
        </w:rPr>
        <w:t>.</w:t>
      </w:r>
      <w:r w:rsidR="001E2863" w:rsidRPr="002E4421">
        <w:rPr>
          <w:sz w:val="22"/>
          <w:szCs w:val="22"/>
        </w:rPr>
        <w:t xml:space="preserve">  The identification strategy and assignment of beneficiaries to training is not perfect.  Assignment to treatment is random, but assignment to </w:t>
      </w:r>
      <w:r w:rsidR="00D4177D" w:rsidRPr="002E4421">
        <w:rPr>
          <w:sz w:val="22"/>
          <w:szCs w:val="22"/>
        </w:rPr>
        <w:t>wage employment versus entrepreneurship training</w:t>
      </w:r>
      <w:r w:rsidR="001E2863" w:rsidRPr="002E4421">
        <w:rPr>
          <w:sz w:val="22"/>
          <w:szCs w:val="22"/>
        </w:rPr>
        <w:t xml:space="preserve"> is not.  </w:t>
      </w:r>
      <w:r w:rsidR="00D4177D" w:rsidRPr="002E4421">
        <w:rPr>
          <w:sz w:val="22"/>
          <w:szCs w:val="22"/>
        </w:rPr>
        <w:t xml:space="preserve">Furthermore, </w:t>
      </w:r>
      <w:r w:rsidR="001E2863" w:rsidRPr="002E4421">
        <w:rPr>
          <w:sz w:val="22"/>
          <w:szCs w:val="22"/>
        </w:rPr>
        <w:t xml:space="preserve">The identification strategy will permit </w:t>
      </w:r>
      <w:r w:rsidR="00BD06E0" w:rsidRPr="002E4421">
        <w:rPr>
          <w:sz w:val="22"/>
          <w:szCs w:val="22"/>
        </w:rPr>
        <w:t xml:space="preserve">the measurement of </w:t>
      </w:r>
      <w:r w:rsidR="001E2863" w:rsidRPr="002E4421">
        <w:rPr>
          <w:sz w:val="22"/>
          <w:szCs w:val="22"/>
        </w:rPr>
        <w:t xml:space="preserve">the impact of the training </w:t>
      </w:r>
      <w:r w:rsidR="001E2863" w:rsidRPr="002E4421">
        <w:rPr>
          <w:i/>
          <w:sz w:val="22"/>
          <w:szCs w:val="22"/>
        </w:rPr>
        <w:t>on those who choose the training</w:t>
      </w:r>
      <w:r w:rsidR="001E2863" w:rsidRPr="002E4421">
        <w:rPr>
          <w:sz w:val="22"/>
          <w:szCs w:val="22"/>
        </w:rPr>
        <w:t xml:space="preserve">.  It will </w:t>
      </w:r>
      <w:r w:rsidR="001E2863" w:rsidRPr="002E4421">
        <w:rPr>
          <w:i/>
          <w:sz w:val="22"/>
          <w:szCs w:val="22"/>
        </w:rPr>
        <w:t>not</w:t>
      </w:r>
      <w:r w:rsidR="00BD06E0" w:rsidRPr="002E4421">
        <w:rPr>
          <w:sz w:val="22"/>
          <w:szCs w:val="22"/>
        </w:rPr>
        <w:t xml:space="preserve"> help</w:t>
      </w:r>
      <w:r w:rsidR="001E2863" w:rsidRPr="002E4421">
        <w:rPr>
          <w:sz w:val="22"/>
          <w:szCs w:val="22"/>
        </w:rPr>
        <w:t xml:space="preserve"> to understand what would happen if </w:t>
      </w:r>
      <w:r w:rsidR="00BD06E0" w:rsidRPr="002E4421">
        <w:rPr>
          <w:sz w:val="22"/>
          <w:szCs w:val="22"/>
        </w:rPr>
        <w:t>the training interventions were administered to</w:t>
      </w:r>
      <w:r w:rsidR="001E2863" w:rsidRPr="002E4421">
        <w:rPr>
          <w:sz w:val="22"/>
          <w:szCs w:val="22"/>
        </w:rPr>
        <w:t xml:space="preserve"> to any young woman selected at </w:t>
      </w:r>
      <w:r w:rsidR="00BD06E0" w:rsidRPr="002E4421">
        <w:rPr>
          <w:sz w:val="22"/>
          <w:szCs w:val="22"/>
        </w:rPr>
        <w:t>random from the population.  However,</w:t>
      </w:r>
      <w:r w:rsidR="001E2863" w:rsidRPr="002E4421">
        <w:rPr>
          <w:sz w:val="22"/>
          <w:szCs w:val="22"/>
        </w:rPr>
        <w:t xml:space="preserve"> it </w:t>
      </w:r>
      <w:r w:rsidR="001E2863" w:rsidRPr="002E4421">
        <w:rPr>
          <w:i/>
          <w:sz w:val="22"/>
          <w:szCs w:val="22"/>
        </w:rPr>
        <w:t>will</w:t>
      </w:r>
      <w:r w:rsidR="00BD06E0" w:rsidRPr="002E4421">
        <w:rPr>
          <w:sz w:val="22"/>
          <w:szCs w:val="22"/>
        </w:rPr>
        <w:t xml:space="preserve"> provide a good estimate</w:t>
      </w:r>
      <w:r w:rsidR="001E2863" w:rsidRPr="002E4421">
        <w:rPr>
          <w:sz w:val="22"/>
          <w:szCs w:val="22"/>
        </w:rPr>
        <w:t xml:space="preserve"> of the impact the program would have if it were scaled up to a larger population of young women who express an interest in receiving training and assistance in either wage work or entrepreneurship.  </w:t>
      </w:r>
    </w:p>
    <w:p w:rsidR="001E2863" w:rsidRPr="002E4421" w:rsidRDefault="001E2863" w:rsidP="002E4421">
      <w:pPr>
        <w:spacing w:after="0"/>
        <w:rPr>
          <w:rFonts w:ascii="Times New Roman" w:hAnsi="Times New Roman" w:cs="Times New Roman"/>
        </w:rPr>
      </w:pPr>
    </w:p>
    <w:p w:rsidR="001E2863" w:rsidRPr="006653C9" w:rsidRDefault="001E2863" w:rsidP="002E4421">
      <w:pPr>
        <w:pStyle w:val="FootnoteText"/>
        <w:spacing w:line="276" w:lineRule="auto"/>
        <w:jc w:val="both"/>
        <w:rPr>
          <w:sz w:val="22"/>
          <w:szCs w:val="22"/>
        </w:rPr>
      </w:pPr>
      <w:r w:rsidRPr="002E4421">
        <w:rPr>
          <w:b/>
          <w:i/>
          <w:sz w:val="22"/>
          <w:szCs w:val="22"/>
        </w:rPr>
        <w:t>Ethical concerns</w:t>
      </w:r>
      <w:r w:rsidRPr="002E4421">
        <w:rPr>
          <w:b/>
          <w:sz w:val="22"/>
          <w:szCs w:val="22"/>
        </w:rPr>
        <w:t>.</w:t>
      </w:r>
      <w:r w:rsidR="006653C9" w:rsidRPr="002E4421">
        <w:rPr>
          <w:sz w:val="22"/>
          <w:szCs w:val="22"/>
        </w:rPr>
        <w:t xml:space="preserve">  This evaluation</w:t>
      </w:r>
      <w:r w:rsidRPr="002E4421">
        <w:rPr>
          <w:sz w:val="22"/>
          <w:szCs w:val="22"/>
        </w:rPr>
        <w:t xml:space="preserve"> presents a number of potentially sensitive issues for human subjects review.  </w:t>
      </w:r>
      <w:r w:rsidR="006653C9" w:rsidRPr="002E4421">
        <w:rPr>
          <w:sz w:val="22"/>
          <w:szCs w:val="22"/>
        </w:rPr>
        <w:t xml:space="preserve"> In the conduct of the research, the confidentiality of data must be ensured.  This is especially tricky with panel surveys, where</w:t>
      </w:r>
      <w:r w:rsidR="006653C9" w:rsidRPr="006653C9">
        <w:rPr>
          <w:sz w:val="22"/>
          <w:szCs w:val="22"/>
        </w:rPr>
        <w:t xml:space="preserve"> data must be matched across rounds by identifying characteristics.  </w:t>
      </w:r>
      <w:r w:rsidRPr="006653C9">
        <w:rPr>
          <w:sz w:val="22"/>
          <w:szCs w:val="22"/>
        </w:rPr>
        <w:t xml:space="preserve">First, as with all repeated surveys, it is important that the survey team maintain contact over time with the beneficiary and control populations.  In order to facilitate this, survey identifiers must be maintained and available repeatedly, possibly to different teams of enumerators.  The </w:t>
      </w:r>
      <w:r w:rsidR="00BD06E0">
        <w:rPr>
          <w:sz w:val="22"/>
          <w:szCs w:val="22"/>
        </w:rPr>
        <w:t xml:space="preserve"> survey firm </w:t>
      </w:r>
      <w:r w:rsidRPr="006653C9">
        <w:rPr>
          <w:sz w:val="22"/>
          <w:szCs w:val="22"/>
        </w:rPr>
        <w:t>will undertake whatever steps are necessary to guarantee confidentiality of data.</w:t>
      </w:r>
    </w:p>
    <w:p w:rsidR="001E2863" w:rsidRPr="006653C9" w:rsidRDefault="001E2863" w:rsidP="001E2863">
      <w:pPr>
        <w:pStyle w:val="FootnoteText"/>
        <w:jc w:val="both"/>
        <w:rPr>
          <w:sz w:val="22"/>
          <w:szCs w:val="22"/>
        </w:rPr>
      </w:pPr>
    </w:p>
    <w:p w:rsidR="001E2863" w:rsidRPr="00092C13" w:rsidRDefault="001E2863" w:rsidP="001E2863">
      <w:pPr>
        <w:pStyle w:val="FootnoteText"/>
        <w:jc w:val="both"/>
        <w:rPr>
          <w:sz w:val="24"/>
        </w:rPr>
      </w:pPr>
      <w:r w:rsidRPr="006653C9">
        <w:rPr>
          <w:sz w:val="22"/>
          <w:szCs w:val="22"/>
        </w:rPr>
        <w:t>Second, at the request of the Ministry of Gender</w:t>
      </w:r>
      <w:r w:rsidR="007A4D53" w:rsidRPr="006653C9">
        <w:rPr>
          <w:sz w:val="22"/>
          <w:szCs w:val="22"/>
        </w:rPr>
        <w:t xml:space="preserve"> and Development</w:t>
      </w:r>
      <w:r w:rsidRPr="006653C9">
        <w:rPr>
          <w:sz w:val="22"/>
          <w:szCs w:val="22"/>
        </w:rPr>
        <w:t>, the project will be collecting information on the incidence</w:t>
      </w:r>
      <w:r w:rsidRPr="00092C13">
        <w:rPr>
          <w:sz w:val="24"/>
        </w:rPr>
        <w:t xml:space="preserve"> of violence, risky behavior such as unprotected sex, and unwanted pregnancy.  The enumerators must receive training in sensitive and appropriate techniques for obtaining this information.  More importantly, at each round of data collection, the participants will be assured that they are under no obligation to provide this information, and that their continued participation in the program in no way depends on their willingness to answer these questions, or on the answers they give.  In addition, the enumerators must understand how to respond in cases where they receive information which suggests that the respondent is at exceptional risk, for example of harm from violence.  Finally, although the enumerators will ask for self-reported symptoms of sexually transmitted infections, and will not conduct physical exams, the enumerators </w:t>
      </w:r>
      <w:r w:rsidRPr="00092C13">
        <w:rPr>
          <w:sz w:val="24"/>
        </w:rPr>
        <w:lastRenderedPageBreak/>
        <w:t xml:space="preserve">must be provided with knowledge and training necessary to assist the respondents to seek diagnosis and treatment in cases where they suspect the possibility of infection.  </w:t>
      </w:r>
    </w:p>
    <w:p w:rsidR="001E2863" w:rsidRPr="00092C13" w:rsidRDefault="001E2863" w:rsidP="001E2863">
      <w:pPr>
        <w:pStyle w:val="FootnoteText"/>
        <w:rPr>
          <w:sz w:val="24"/>
        </w:rPr>
      </w:pPr>
    </w:p>
    <w:p w:rsidR="001E2863" w:rsidRPr="00092C13" w:rsidRDefault="001E2863" w:rsidP="001E2863">
      <w:pPr>
        <w:pStyle w:val="FootnoteText"/>
        <w:rPr>
          <w:b/>
          <w:sz w:val="24"/>
        </w:rPr>
      </w:pPr>
    </w:p>
    <w:p w:rsidR="001E2863" w:rsidRPr="001D5C62" w:rsidRDefault="001E2863" w:rsidP="001E2863">
      <w:pPr>
        <w:pStyle w:val="FootnoteText"/>
        <w:rPr>
          <w:b/>
          <w:sz w:val="24"/>
        </w:rPr>
      </w:pPr>
      <w:r w:rsidRPr="00092C13">
        <w:rPr>
          <w:b/>
          <w:sz w:val="24"/>
        </w:rPr>
        <w:t>References</w:t>
      </w:r>
      <w:fldSimple w:instr="ref  \* MERGEFORMAT " w:fldLock="1"/>
    </w:p>
    <w:p w:rsidR="001E2863" w:rsidRPr="00092C13" w:rsidRDefault="001E2863" w:rsidP="001E2863">
      <w:pPr>
        <w:spacing w:after="0"/>
        <w:ind w:left="720" w:hanging="720"/>
        <w:rPr>
          <w:rFonts w:ascii="Times New Roman" w:hAnsi="Times New Roman" w:cs="Times New Roman"/>
          <w:snapToGrid w:val="0"/>
          <w:color w:val="000000"/>
        </w:rPr>
      </w:pPr>
      <w:r w:rsidRPr="00092C13">
        <w:rPr>
          <w:rFonts w:ascii="Times New Roman" w:hAnsi="Times New Roman" w:cs="Times New Roman"/>
          <w:snapToGrid w:val="0"/>
          <w:color w:val="000000"/>
        </w:rPr>
        <w:t xml:space="preserve">Betcherman, G., M. Godfrey, S. Puerto, F. Rother, and A. Stavreska, 2007. </w:t>
      </w:r>
      <w:r w:rsidRPr="00092C13">
        <w:rPr>
          <w:rFonts w:ascii="Times New Roman" w:hAnsi="Times New Roman" w:cs="Times New Roman"/>
          <w:i/>
          <w:snapToGrid w:val="0"/>
          <w:color w:val="000000"/>
        </w:rPr>
        <w:t>A Review of Interventions to Support Young Workers: Findings of the Youth Employment Inventory</w:t>
      </w:r>
      <w:r w:rsidRPr="00092C13">
        <w:rPr>
          <w:rFonts w:ascii="Times New Roman" w:hAnsi="Times New Roman" w:cs="Times New Roman"/>
          <w:snapToGrid w:val="0"/>
          <w:color w:val="000000"/>
        </w:rPr>
        <w:t xml:space="preserve">. SP Discussion Paper No. 0715. </w:t>
      </w:r>
      <w:smartTag w:uri="urn:schemas-microsoft-com:office:smarttags" w:element="place">
        <w:smartTag w:uri="urn:schemas-microsoft-com:office:smarttags" w:element="City">
          <w:r w:rsidRPr="00092C13">
            <w:rPr>
              <w:rFonts w:ascii="Times New Roman" w:hAnsi="Times New Roman" w:cs="Times New Roman"/>
              <w:snapToGrid w:val="0"/>
              <w:color w:val="000000"/>
            </w:rPr>
            <w:t>Washington</w:t>
          </w:r>
        </w:smartTag>
        <w:r w:rsidRPr="00092C13">
          <w:rPr>
            <w:rFonts w:ascii="Times New Roman" w:hAnsi="Times New Roman" w:cs="Times New Roman"/>
            <w:snapToGrid w:val="0"/>
            <w:color w:val="000000"/>
          </w:rPr>
          <w:t xml:space="preserve">, </w:t>
        </w:r>
        <w:smartTag w:uri="urn:schemas-microsoft-com:office:smarttags" w:element="State">
          <w:r w:rsidRPr="00092C13">
            <w:rPr>
              <w:rFonts w:ascii="Times New Roman" w:hAnsi="Times New Roman" w:cs="Times New Roman"/>
              <w:snapToGrid w:val="0"/>
              <w:color w:val="000000"/>
            </w:rPr>
            <w:t>DC</w:t>
          </w:r>
        </w:smartTag>
      </w:smartTag>
      <w:r w:rsidRPr="00092C13">
        <w:rPr>
          <w:rFonts w:ascii="Times New Roman" w:hAnsi="Times New Roman" w:cs="Times New Roman"/>
          <w:snapToGrid w:val="0"/>
          <w:color w:val="000000"/>
        </w:rPr>
        <w:t>: World Bank.</w:t>
      </w:r>
    </w:p>
    <w:p w:rsidR="001E2863" w:rsidRPr="00092C13" w:rsidRDefault="001E2863" w:rsidP="001E2863">
      <w:pPr>
        <w:spacing w:after="0"/>
        <w:ind w:left="720" w:hanging="720"/>
        <w:jc w:val="both"/>
        <w:rPr>
          <w:rFonts w:ascii="Times New Roman" w:hAnsi="Times New Roman" w:cs="Times New Roman"/>
        </w:rPr>
      </w:pPr>
      <w:r w:rsidRPr="00092C13">
        <w:rPr>
          <w:rFonts w:ascii="Times New Roman" w:hAnsi="Times New Roman" w:cs="Times New Roman"/>
          <w:lang w:val="pt-BR"/>
        </w:rPr>
        <w:t>Ca</w:t>
      </w:r>
      <w:r w:rsidRPr="00E65D93">
        <w:rPr>
          <w:rFonts w:ascii="Times New Roman" w:hAnsi="Times New Roman" w:cs="Times New Roman"/>
          <w:lang w:val="pt-BR"/>
        </w:rPr>
        <w:t xml:space="preserve">rd, David, </w:t>
      </w:r>
      <w:hyperlink r:id="rId10" w:history="1">
        <w:r w:rsidRPr="00E65D93">
          <w:rPr>
            <w:rStyle w:val="Hyperlink"/>
            <w:rFonts w:ascii="Times New Roman" w:hAnsi="Times New Roman" w:cs="Times New Roman"/>
            <w:u w:val="none"/>
            <w:lang w:val="pt-BR"/>
          </w:rPr>
          <w:t>Pablo Ibarraran</w:t>
        </w:r>
      </w:hyperlink>
      <w:r w:rsidRPr="00E65D93">
        <w:rPr>
          <w:rFonts w:ascii="Times New Roman" w:hAnsi="Times New Roman" w:cs="Times New Roman"/>
          <w:lang w:val="pt-BR"/>
        </w:rPr>
        <w:t xml:space="preserve">, </w:t>
      </w:r>
      <w:hyperlink r:id="rId11" w:history="1">
        <w:r w:rsidRPr="00E65D93">
          <w:rPr>
            <w:rStyle w:val="Hyperlink"/>
            <w:rFonts w:ascii="Times New Roman" w:hAnsi="Times New Roman" w:cs="Times New Roman"/>
            <w:u w:val="none"/>
            <w:lang w:val="pt-BR"/>
          </w:rPr>
          <w:t>Ferdinando Regalia</w:t>
        </w:r>
      </w:hyperlink>
      <w:r w:rsidRPr="00E65D93">
        <w:rPr>
          <w:rFonts w:ascii="Times New Roman" w:hAnsi="Times New Roman" w:cs="Times New Roman"/>
          <w:lang w:val="pt-BR"/>
        </w:rPr>
        <w:t xml:space="preserve">, </w:t>
      </w:r>
      <w:hyperlink r:id="rId12" w:history="1">
        <w:r w:rsidRPr="00E65D93">
          <w:rPr>
            <w:rStyle w:val="Hyperlink"/>
            <w:rFonts w:ascii="Times New Roman" w:hAnsi="Times New Roman" w:cs="Times New Roman"/>
            <w:u w:val="none"/>
            <w:lang w:val="pt-BR"/>
          </w:rPr>
          <w:t>David Rosas</w:t>
        </w:r>
      </w:hyperlink>
      <w:r w:rsidRPr="00E65D93">
        <w:rPr>
          <w:rFonts w:ascii="Times New Roman" w:hAnsi="Times New Roman" w:cs="Times New Roman"/>
          <w:lang w:val="pt-BR"/>
        </w:rPr>
        <w:t xml:space="preserve">, and </w:t>
      </w:r>
      <w:hyperlink r:id="rId13" w:history="1">
        <w:r w:rsidRPr="00E65D93">
          <w:rPr>
            <w:rStyle w:val="Hyperlink"/>
            <w:rFonts w:ascii="Times New Roman" w:hAnsi="Times New Roman" w:cs="Times New Roman"/>
            <w:u w:val="none"/>
            <w:lang w:val="pt-BR"/>
          </w:rPr>
          <w:t>Yuri Soares</w:t>
        </w:r>
      </w:hyperlink>
      <w:r w:rsidRPr="00092C13">
        <w:rPr>
          <w:rFonts w:ascii="Times New Roman" w:hAnsi="Times New Roman" w:cs="Times New Roman"/>
          <w:lang w:val="pt-BR"/>
        </w:rPr>
        <w:t xml:space="preserve">, 2007.  </w:t>
      </w:r>
      <w:r w:rsidRPr="00092C13">
        <w:rPr>
          <w:rFonts w:ascii="Times New Roman" w:hAnsi="Times New Roman" w:cs="Times New Roman"/>
        </w:rPr>
        <w:t xml:space="preserve">“The Labor Market Impacts of Youth Training in the </w:t>
      </w:r>
      <w:smartTag w:uri="urn:schemas-microsoft-com:office:smarttags" w:element="place">
        <w:smartTag w:uri="urn:schemas-microsoft-com:office:smarttags" w:element="country-region">
          <w:r w:rsidRPr="00092C13">
            <w:rPr>
              <w:rFonts w:ascii="Times New Roman" w:hAnsi="Times New Roman" w:cs="Times New Roman"/>
            </w:rPr>
            <w:t>Dominican Republic</w:t>
          </w:r>
        </w:smartTag>
      </w:smartTag>
      <w:r w:rsidRPr="00092C13">
        <w:rPr>
          <w:rFonts w:ascii="Times New Roman" w:hAnsi="Times New Roman" w:cs="Times New Roman"/>
        </w:rPr>
        <w:t xml:space="preserve">: Evidence from a Randomized Evaluation.”  </w:t>
      </w:r>
      <w:smartTag w:uri="urn:schemas-microsoft-com:office:smarttags" w:element="place">
        <w:smartTag w:uri="urn:schemas-microsoft-com:office:smarttags" w:element="City">
          <w:r w:rsidRPr="00092C13">
            <w:rPr>
              <w:rFonts w:ascii="Times New Roman" w:hAnsi="Times New Roman" w:cs="Times New Roman"/>
            </w:rPr>
            <w:t>Cambridge</w:t>
          </w:r>
        </w:smartTag>
        <w:r w:rsidRPr="00092C13">
          <w:rPr>
            <w:rFonts w:ascii="Times New Roman" w:hAnsi="Times New Roman" w:cs="Times New Roman"/>
          </w:rPr>
          <w:t xml:space="preserve">, </w:t>
        </w:r>
        <w:smartTag w:uri="urn:schemas-microsoft-com:office:smarttags" w:element="State">
          <w:r w:rsidRPr="00092C13">
            <w:rPr>
              <w:rFonts w:ascii="Times New Roman" w:hAnsi="Times New Roman" w:cs="Times New Roman"/>
            </w:rPr>
            <w:t>MA</w:t>
          </w:r>
        </w:smartTag>
      </w:smartTag>
      <w:r w:rsidRPr="00092C13">
        <w:rPr>
          <w:rFonts w:ascii="Times New Roman" w:hAnsi="Times New Roman" w:cs="Times New Roman"/>
        </w:rPr>
        <w:t>: National Bureau of Economic Research Working Paper Series No. 12883.</w:t>
      </w:r>
    </w:p>
    <w:p w:rsidR="001E2863" w:rsidRPr="00092C13" w:rsidRDefault="001E2863" w:rsidP="001E2863">
      <w:pPr>
        <w:spacing w:after="0"/>
        <w:ind w:left="720" w:hanging="720"/>
        <w:jc w:val="both"/>
        <w:rPr>
          <w:rFonts w:ascii="Times New Roman" w:hAnsi="Times New Roman" w:cs="Times New Roman"/>
        </w:rPr>
      </w:pPr>
      <w:r w:rsidRPr="00092C13">
        <w:rPr>
          <w:rFonts w:ascii="Times New Roman" w:hAnsi="Times New Roman" w:cs="Times New Roman"/>
        </w:rPr>
        <w:t>Polanco, José Luis, 2007.  “First evaluation: Programa Juventud y Empleo.”  Presented to World Bank workshop on School-to-Work Transition Impact Evaluations, November.</w:t>
      </w:r>
    </w:p>
    <w:p w:rsidR="001E2863" w:rsidRDefault="001E2863" w:rsidP="001E2863">
      <w:pPr>
        <w:spacing w:after="0"/>
        <w:ind w:left="540" w:hanging="540"/>
        <w:rPr>
          <w:rFonts w:ascii="Times New Roman" w:hAnsi="Times New Roman" w:cs="Times New Roman"/>
          <w:snapToGrid w:val="0"/>
          <w:color w:val="000000"/>
        </w:rPr>
      </w:pPr>
      <w:r w:rsidRPr="00092C13">
        <w:rPr>
          <w:rFonts w:ascii="Times New Roman" w:hAnsi="Times New Roman" w:cs="Times New Roman"/>
          <w:snapToGrid w:val="0"/>
          <w:color w:val="000000"/>
        </w:rPr>
        <w:t xml:space="preserve">World Bank, 2006.  </w:t>
      </w:r>
      <w:r w:rsidRPr="00092C13">
        <w:rPr>
          <w:rFonts w:ascii="Times New Roman" w:hAnsi="Times New Roman" w:cs="Times New Roman"/>
          <w:i/>
          <w:snapToGrid w:val="0"/>
          <w:color w:val="000000"/>
        </w:rPr>
        <w:t>World Development Report 2007: Development and the Next Generation</w:t>
      </w:r>
      <w:r w:rsidRPr="00092C13">
        <w:rPr>
          <w:rFonts w:ascii="Times New Roman" w:hAnsi="Times New Roman" w:cs="Times New Roman"/>
          <w:snapToGrid w:val="0"/>
          <w:color w:val="000000"/>
        </w:rPr>
        <w:t xml:space="preserve">. </w:t>
      </w:r>
      <w:smartTag w:uri="urn:schemas-microsoft-com:office:smarttags" w:element="place">
        <w:smartTag w:uri="urn:schemas-microsoft-com:office:smarttags" w:element="City">
          <w:r w:rsidRPr="00092C13">
            <w:rPr>
              <w:rFonts w:ascii="Times New Roman" w:hAnsi="Times New Roman" w:cs="Times New Roman"/>
              <w:snapToGrid w:val="0"/>
              <w:color w:val="000000"/>
            </w:rPr>
            <w:t>Washington</w:t>
          </w:r>
        </w:smartTag>
        <w:r w:rsidRPr="00092C13">
          <w:rPr>
            <w:rFonts w:ascii="Times New Roman" w:hAnsi="Times New Roman" w:cs="Times New Roman"/>
            <w:snapToGrid w:val="0"/>
            <w:color w:val="000000"/>
          </w:rPr>
          <w:t xml:space="preserve">, </w:t>
        </w:r>
        <w:smartTag w:uri="urn:schemas-microsoft-com:office:smarttags" w:element="State">
          <w:r w:rsidRPr="00092C13">
            <w:rPr>
              <w:rFonts w:ascii="Times New Roman" w:hAnsi="Times New Roman" w:cs="Times New Roman"/>
              <w:snapToGrid w:val="0"/>
              <w:color w:val="000000"/>
            </w:rPr>
            <w:t>DC</w:t>
          </w:r>
        </w:smartTag>
      </w:smartTag>
      <w:r w:rsidRPr="00092C13">
        <w:rPr>
          <w:rFonts w:ascii="Times New Roman" w:hAnsi="Times New Roman" w:cs="Times New Roman"/>
          <w:snapToGrid w:val="0"/>
          <w:color w:val="000000"/>
        </w:rPr>
        <w:t>: World Bank.</w:t>
      </w:r>
    </w:p>
    <w:p w:rsidR="001E2863" w:rsidRDefault="001E2863" w:rsidP="001E2863">
      <w:pPr>
        <w:spacing w:after="0"/>
        <w:ind w:left="540" w:hanging="540"/>
        <w:rPr>
          <w:rFonts w:ascii="Times New Roman" w:hAnsi="Times New Roman" w:cs="Times New Roman"/>
          <w:snapToGrid w:val="0"/>
          <w:color w:val="000000"/>
        </w:rPr>
      </w:pPr>
    </w:p>
    <w:p w:rsidR="001E2863" w:rsidRPr="00092C13" w:rsidRDefault="001E2863" w:rsidP="001E2863">
      <w:pPr>
        <w:spacing w:after="0"/>
        <w:ind w:left="540" w:hanging="540"/>
        <w:rPr>
          <w:rFonts w:ascii="Times New Roman" w:hAnsi="Times New Roman" w:cs="Times New Roman"/>
          <w:snapToGrid w:val="0"/>
          <w:color w:val="000000"/>
        </w:rPr>
      </w:pPr>
    </w:p>
    <w:p w:rsidR="001E2863" w:rsidRPr="00092C13" w:rsidRDefault="001E2863" w:rsidP="00092C13">
      <w:pPr>
        <w:spacing w:after="0"/>
        <w:jc w:val="both"/>
        <w:rPr>
          <w:rFonts w:ascii="Times New Roman" w:hAnsi="Times New Roman" w:cs="Times New Roman"/>
        </w:rPr>
        <w:sectPr w:rsidR="001E2863" w:rsidRPr="00092C13" w:rsidSect="00DC1040">
          <w:footerReference w:type="default" r:id="rId14"/>
          <w:pgSz w:w="12240" w:h="15840"/>
          <w:pgMar w:top="1440" w:right="1800" w:bottom="1440" w:left="1800" w:header="720" w:footer="720" w:gutter="0"/>
          <w:cols w:space="720"/>
          <w:docGrid w:linePitch="360"/>
        </w:sectPr>
      </w:pPr>
    </w:p>
    <w:p w:rsidR="00656C37" w:rsidRPr="00092C13" w:rsidRDefault="00F849E5" w:rsidP="00092C13">
      <w:pPr>
        <w:keepNext/>
        <w:spacing w:after="0"/>
        <w:jc w:val="both"/>
        <w:rPr>
          <w:rFonts w:ascii="Times New Roman" w:hAnsi="Times New Roman" w:cs="Times New Roman"/>
          <w:b/>
        </w:rPr>
      </w:pPr>
      <w:r>
        <w:rPr>
          <w:rFonts w:ascii="Times New Roman" w:hAnsi="Times New Roman" w:cs="Times New Roman"/>
          <w:b/>
        </w:rPr>
        <w:lastRenderedPageBreak/>
        <w:t>Figure 1</w:t>
      </w:r>
      <w:r w:rsidR="00656C37" w:rsidRPr="00092C13">
        <w:rPr>
          <w:rFonts w:ascii="Times New Roman" w:hAnsi="Times New Roman" w:cs="Times New Roman"/>
          <w:b/>
        </w:rPr>
        <w:t>.  Evaluation design (flow of participants across sample survey groups).</w:t>
      </w:r>
    </w:p>
    <w:p w:rsidR="00656C37" w:rsidRPr="00092C13" w:rsidRDefault="00656C37" w:rsidP="00092C13">
      <w:pPr>
        <w:spacing w:after="0"/>
        <w:jc w:val="both"/>
        <w:rPr>
          <w:rFonts w:ascii="Times New Roman" w:hAnsi="Times New Roman" w:cs="Times New Roman"/>
          <w:noProof/>
        </w:rPr>
      </w:pPr>
    </w:p>
    <w:p w:rsidR="00656C37" w:rsidRPr="00092C13" w:rsidRDefault="00A37F39" w:rsidP="00092C13">
      <w:pPr>
        <w:spacing w:after="0"/>
        <w:rPr>
          <w:rFonts w:ascii="Times New Roman" w:hAnsi="Times New Roman" w:cs="Times New Roman"/>
          <w:b/>
          <w:noProof/>
        </w:rPr>
      </w:pPr>
      <w:r w:rsidRPr="00A37F39">
        <w:rPr>
          <w:rFonts w:ascii="Times New Roman" w:hAnsi="Times New Roman" w:cs="Times New Roman"/>
          <w:noProof/>
        </w:rPr>
        <w:drawing>
          <wp:inline distT="0" distB="0" distL="0" distR="0">
            <wp:extent cx="8229600" cy="3200843"/>
            <wp:effectExtent l="1905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8229600" cy="3200843"/>
                    </a:xfrm>
                    <a:prstGeom prst="rect">
                      <a:avLst/>
                    </a:prstGeom>
                    <a:noFill/>
                    <a:ln w="9525">
                      <a:noFill/>
                      <a:miter lim="800000"/>
                      <a:headEnd/>
                      <a:tailEnd/>
                    </a:ln>
                  </pic:spPr>
                </pic:pic>
              </a:graphicData>
            </a:graphic>
          </wp:inline>
        </w:drawing>
      </w:r>
      <w:r w:rsidR="00656C37" w:rsidRPr="00092C13">
        <w:rPr>
          <w:rFonts w:ascii="Times New Roman" w:hAnsi="Times New Roman" w:cs="Times New Roman"/>
          <w:noProof/>
        </w:rPr>
        <w:br w:type="page"/>
      </w:r>
      <w:r w:rsidR="00F849E5">
        <w:rPr>
          <w:rFonts w:ascii="Times New Roman" w:hAnsi="Times New Roman" w:cs="Times New Roman"/>
          <w:b/>
          <w:noProof/>
        </w:rPr>
        <w:lastRenderedPageBreak/>
        <w:t>Figure 2</w:t>
      </w:r>
      <w:r w:rsidR="00656C37" w:rsidRPr="00092C13">
        <w:rPr>
          <w:rFonts w:ascii="Times New Roman" w:hAnsi="Times New Roman" w:cs="Times New Roman"/>
          <w:b/>
          <w:noProof/>
        </w:rPr>
        <w:t>.  Evaluation timetable</w:t>
      </w:r>
    </w:p>
    <w:p w:rsidR="00656C37" w:rsidRPr="00092C13" w:rsidRDefault="00656C37" w:rsidP="00092C13">
      <w:pPr>
        <w:spacing w:after="0"/>
        <w:rPr>
          <w:rFonts w:ascii="Times New Roman" w:hAnsi="Times New Roman" w:cs="Times New Roman"/>
          <w:b/>
          <w:noProof/>
        </w:rPr>
      </w:pPr>
      <w:r w:rsidRPr="00092C13">
        <w:rPr>
          <w:rFonts w:ascii="Times New Roman" w:hAnsi="Times New Roman" w:cs="Times New Roman"/>
          <w:noProof/>
        </w:rPr>
        <w:drawing>
          <wp:inline distT="0" distB="0" distL="0" distR="0">
            <wp:extent cx="8229600" cy="33528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srcRect/>
                    <a:stretch>
                      <a:fillRect/>
                    </a:stretch>
                  </pic:blipFill>
                  <pic:spPr bwMode="auto">
                    <a:xfrm>
                      <a:off x="0" y="0"/>
                      <a:ext cx="8229600" cy="3352800"/>
                    </a:xfrm>
                    <a:prstGeom prst="rect">
                      <a:avLst/>
                    </a:prstGeom>
                    <a:noFill/>
                    <a:ln w="9525">
                      <a:noFill/>
                      <a:miter lim="800000"/>
                      <a:headEnd/>
                      <a:tailEnd/>
                    </a:ln>
                  </pic:spPr>
                </pic:pic>
              </a:graphicData>
            </a:graphic>
          </wp:inline>
        </w:drawing>
      </w:r>
    </w:p>
    <w:p w:rsidR="00656C37" w:rsidRPr="00092C13" w:rsidRDefault="00656C37" w:rsidP="00092C13">
      <w:pPr>
        <w:spacing w:after="0"/>
        <w:rPr>
          <w:rFonts w:ascii="Times New Roman" w:hAnsi="Times New Roman" w:cs="Times New Roman"/>
          <w:b/>
          <w:noProof/>
        </w:rPr>
      </w:pPr>
    </w:p>
    <w:p w:rsidR="00656C37" w:rsidRPr="00092C13" w:rsidRDefault="00656C37" w:rsidP="00092C13">
      <w:pPr>
        <w:spacing w:after="0"/>
        <w:rPr>
          <w:rFonts w:ascii="Times New Roman" w:hAnsi="Times New Roman" w:cs="Times New Roman"/>
          <w:b/>
          <w:noProof/>
        </w:rPr>
      </w:pPr>
      <w:r w:rsidRPr="00092C13">
        <w:rPr>
          <w:rFonts w:ascii="Times New Roman" w:hAnsi="Times New Roman" w:cs="Times New Roman"/>
          <w:b/>
          <w:noProof/>
        </w:rPr>
        <w:br w:type="page"/>
      </w:r>
      <w:r w:rsidR="00E85CD2">
        <w:rPr>
          <w:rFonts w:ascii="Times New Roman" w:hAnsi="Times New Roman" w:cs="Times New Roman"/>
          <w:b/>
          <w:noProof/>
        </w:rPr>
        <w:lastRenderedPageBreak/>
        <w:t>Table 1</w:t>
      </w:r>
      <w:r w:rsidRPr="00092C13">
        <w:rPr>
          <w:rFonts w:ascii="Times New Roman" w:hAnsi="Times New Roman" w:cs="Times New Roman"/>
          <w:b/>
          <w:noProof/>
        </w:rPr>
        <w:t>. Number of participants per survey per round</w:t>
      </w:r>
    </w:p>
    <w:tbl>
      <w:tblPr>
        <w:tblStyle w:val="TableSimple1"/>
        <w:tblW w:w="0" w:type="auto"/>
        <w:tblLook w:val="04A0"/>
      </w:tblPr>
      <w:tblGrid>
        <w:gridCol w:w="3137"/>
        <w:gridCol w:w="1210"/>
        <w:gridCol w:w="1210"/>
        <w:gridCol w:w="1210"/>
        <w:gridCol w:w="883"/>
      </w:tblGrid>
      <w:tr w:rsidR="0015498A" w:rsidTr="00F849E5">
        <w:trPr>
          <w:cnfStyle w:val="100000000000"/>
        </w:trPr>
        <w:tc>
          <w:tcPr>
            <w:tcW w:w="3137" w:type="dxa"/>
            <w:tcBorders>
              <w:top w:val="single" w:sz="12" w:space="0" w:color="008000"/>
            </w:tcBorders>
          </w:tcPr>
          <w:p w:rsidR="0015498A" w:rsidRPr="00F849E5" w:rsidRDefault="0015498A" w:rsidP="00092C13">
            <w:pPr>
              <w:rPr>
                <w:b/>
                <w:noProof/>
                <w:sz w:val="24"/>
                <w:szCs w:val="24"/>
              </w:rPr>
            </w:pPr>
          </w:p>
        </w:tc>
        <w:tc>
          <w:tcPr>
            <w:tcW w:w="1210" w:type="dxa"/>
            <w:tcBorders>
              <w:top w:val="single" w:sz="12" w:space="0" w:color="008000"/>
            </w:tcBorders>
          </w:tcPr>
          <w:p w:rsidR="0015498A" w:rsidRPr="00F849E5" w:rsidRDefault="0015498A" w:rsidP="00092C13">
            <w:pPr>
              <w:rPr>
                <w:b/>
                <w:noProof/>
                <w:sz w:val="24"/>
                <w:szCs w:val="24"/>
              </w:rPr>
            </w:pPr>
            <w:r w:rsidRPr="00F849E5">
              <w:rPr>
                <w:b/>
                <w:noProof/>
                <w:sz w:val="24"/>
                <w:szCs w:val="24"/>
              </w:rPr>
              <w:t>Round 0</w:t>
            </w:r>
          </w:p>
        </w:tc>
        <w:tc>
          <w:tcPr>
            <w:tcW w:w="1210" w:type="dxa"/>
            <w:tcBorders>
              <w:top w:val="single" w:sz="12" w:space="0" w:color="008000"/>
            </w:tcBorders>
          </w:tcPr>
          <w:p w:rsidR="0015498A" w:rsidRPr="00F849E5" w:rsidRDefault="0015498A" w:rsidP="00092C13">
            <w:pPr>
              <w:rPr>
                <w:b/>
                <w:noProof/>
                <w:sz w:val="24"/>
                <w:szCs w:val="24"/>
              </w:rPr>
            </w:pPr>
            <w:r w:rsidRPr="00F849E5">
              <w:rPr>
                <w:b/>
                <w:noProof/>
                <w:sz w:val="24"/>
                <w:szCs w:val="24"/>
              </w:rPr>
              <w:t>Round 1</w:t>
            </w:r>
          </w:p>
        </w:tc>
        <w:tc>
          <w:tcPr>
            <w:tcW w:w="1210" w:type="dxa"/>
            <w:tcBorders>
              <w:top w:val="single" w:sz="12" w:space="0" w:color="008000"/>
            </w:tcBorders>
          </w:tcPr>
          <w:p w:rsidR="0015498A" w:rsidRPr="00F849E5" w:rsidRDefault="0015498A" w:rsidP="00092C13">
            <w:pPr>
              <w:rPr>
                <w:b/>
                <w:noProof/>
                <w:sz w:val="24"/>
                <w:szCs w:val="24"/>
              </w:rPr>
            </w:pPr>
            <w:r w:rsidRPr="00F849E5">
              <w:rPr>
                <w:b/>
                <w:noProof/>
                <w:sz w:val="24"/>
                <w:szCs w:val="24"/>
              </w:rPr>
              <w:t>Round 2</w:t>
            </w:r>
          </w:p>
        </w:tc>
        <w:tc>
          <w:tcPr>
            <w:tcW w:w="883" w:type="dxa"/>
            <w:tcBorders>
              <w:top w:val="single" w:sz="12" w:space="0" w:color="008000"/>
            </w:tcBorders>
          </w:tcPr>
          <w:p w:rsidR="0015498A" w:rsidRPr="00F849E5" w:rsidRDefault="0015498A" w:rsidP="00092C13">
            <w:pPr>
              <w:rPr>
                <w:b/>
                <w:noProof/>
                <w:sz w:val="24"/>
                <w:szCs w:val="24"/>
              </w:rPr>
            </w:pPr>
            <w:r w:rsidRPr="00F849E5">
              <w:rPr>
                <w:b/>
                <w:noProof/>
                <w:sz w:val="24"/>
                <w:szCs w:val="24"/>
              </w:rPr>
              <w:t>Total</w:t>
            </w:r>
          </w:p>
        </w:tc>
      </w:tr>
      <w:tr w:rsidR="0015498A" w:rsidTr="00F849E5">
        <w:tc>
          <w:tcPr>
            <w:tcW w:w="3137" w:type="dxa"/>
          </w:tcPr>
          <w:p w:rsidR="0015498A" w:rsidRPr="00F849E5" w:rsidRDefault="0015498A" w:rsidP="00092C13">
            <w:pPr>
              <w:rPr>
                <w:b/>
                <w:noProof/>
                <w:sz w:val="24"/>
                <w:szCs w:val="24"/>
              </w:rPr>
            </w:pPr>
            <w:r w:rsidRPr="00F849E5">
              <w:rPr>
                <w:b/>
                <w:noProof/>
                <w:sz w:val="24"/>
                <w:szCs w:val="24"/>
              </w:rPr>
              <w:t>Full Surveys</w:t>
            </w:r>
          </w:p>
        </w:tc>
        <w:tc>
          <w:tcPr>
            <w:tcW w:w="1210" w:type="dxa"/>
          </w:tcPr>
          <w:p w:rsidR="0015498A" w:rsidRPr="00F849E5" w:rsidRDefault="0015498A" w:rsidP="00092C13">
            <w:pPr>
              <w:rPr>
                <w:b/>
                <w:noProof/>
                <w:sz w:val="24"/>
                <w:szCs w:val="24"/>
              </w:rPr>
            </w:pPr>
          </w:p>
        </w:tc>
        <w:tc>
          <w:tcPr>
            <w:tcW w:w="1210" w:type="dxa"/>
          </w:tcPr>
          <w:p w:rsidR="0015498A" w:rsidRPr="00F849E5" w:rsidRDefault="0015498A" w:rsidP="00092C13">
            <w:pPr>
              <w:rPr>
                <w:b/>
                <w:noProof/>
                <w:sz w:val="24"/>
                <w:szCs w:val="24"/>
              </w:rPr>
            </w:pPr>
          </w:p>
        </w:tc>
        <w:tc>
          <w:tcPr>
            <w:tcW w:w="1210" w:type="dxa"/>
          </w:tcPr>
          <w:p w:rsidR="0015498A" w:rsidRPr="00F849E5" w:rsidRDefault="0015498A" w:rsidP="00092C13">
            <w:pPr>
              <w:rPr>
                <w:b/>
                <w:noProof/>
                <w:sz w:val="24"/>
                <w:szCs w:val="24"/>
              </w:rPr>
            </w:pPr>
          </w:p>
        </w:tc>
        <w:tc>
          <w:tcPr>
            <w:tcW w:w="883" w:type="dxa"/>
          </w:tcPr>
          <w:p w:rsidR="0015498A" w:rsidRPr="00F849E5" w:rsidRDefault="0015498A" w:rsidP="00092C13">
            <w:pPr>
              <w:rPr>
                <w:b/>
                <w:noProof/>
                <w:sz w:val="24"/>
                <w:szCs w:val="24"/>
              </w:rPr>
            </w:pPr>
          </w:p>
        </w:tc>
      </w:tr>
      <w:tr w:rsidR="0015498A" w:rsidTr="00F849E5">
        <w:tc>
          <w:tcPr>
            <w:tcW w:w="3137" w:type="dxa"/>
          </w:tcPr>
          <w:p w:rsidR="0015498A" w:rsidRPr="00F849E5" w:rsidRDefault="0015498A" w:rsidP="00092C13">
            <w:pPr>
              <w:rPr>
                <w:b/>
                <w:noProof/>
                <w:sz w:val="24"/>
                <w:szCs w:val="24"/>
              </w:rPr>
            </w:pPr>
            <w:r w:rsidRPr="00F849E5">
              <w:rPr>
                <w:b/>
                <w:noProof/>
                <w:sz w:val="24"/>
                <w:szCs w:val="24"/>
              </w:rPr>
              <w:t xml:space="preserve">        Baseline</w:t>
            </w:r>
          </w:p>
        </w:tc>
        <w:tc>
          <w:tcPr>
            <w:tcW w:w="1210" w:type="dxa"/>
          </w:tcPr>
          <w:p w:rsidR="0015498A" w:rsidRPr="00F849E5" w:rsidRDefault="0015498A" w:rsidP="00092C13">
            <w:pPr>
              <w:rPr>
                <w:b/>
                <w:noProof/>
                <w:sz w:val="24"/>
                <w:szCs w:val="24"/>
              </w:rPr>
            </w:pPr>
            <w:r w:rsidRPr="00F849E5">
              <w:rPr>
                <w:b/>
                <w:noProof/>
                <w:sz w:val="24"/>
                <w:szCs w:val="24"/>
              </w:rPr>
              <w:t>2500</w:t>
            </w:r>
          </w:p>
        </w:tc>
        <w:tc>
          <w:tcPr>
            <w:tcW w:w="1210" w:type="dxa"/>
          </w:tcPr>
          <w:p w:rsidR="0015498A" w:rsidRPr="00F849E5" w:rsidRDefault="00F849E5" w:rsidP="00092C13">
            <w:pPr>
              <w:rPr>
                <w:b/>
                <w:noProof/>
                <w:sz w:val="24"/>
                <w:szCs w:val="24"/>
              </w:rPr>
            </w:pPr>
            <w:r w:rsidRPr="00F849E5">
              <w:rPr>
                <w:b/>
                <w:noProof/>
                <w:sz w:val="24"/>
                <w:szCs w:val="24"/>
              </w:rPr>
              <w:t>0</w:t>
            </w:r>
          </w:p>
        </w:tc>
        <w:tc>
          <w:tcPr>
            <w:tcW w:w="1210" w:type="dxa"/>
          </w:tcPr>
          <w:p w:rsidR="00F849E5" w:rsidRPr="00F849E5" w:rsidRDefault="00F849E5" w:rsidP="00092C13">
            <w:pPr>
              <w:rPr>
                <w:b/>
                <w:noProof/>
                <w:sz w:val="24"/>
                <w:szCs w:val="24"/>
              </w:rPr>
            </w:pPr>
            <w:r w:rsidRPr="00F849E5">
              <w:rPr>
                <w:b/>
                <w:noProof/>
                <w:sz w:val="24"/>
                <w:szCs w:val="24"/>
              </w:rPr>
              <w:t>0</w:t>
            </w:r>
          </w:p>
        </w:tc>
        <w:tc>
          <w:tcPr>
            <w:tcW w:w="883" w:type="dxa"/>
          </w:tcPr>
          <w:p w:rsidR="0015498A" w:rsidRPr="00F849E5" w:rsidRDefault="00F849E5" w:rsidP="00092C13">
            <w:pPr>
              <w:rPr>
                <w:b/>
                <w:noProof/>
                <w:sz w:val="24"/>
                <w:szCs w:val="24"/>
              </w:rPr>
            </w:pPr>
            <w:r w:rsidRPr="00F849E5">
              <w:rPr>
                <w:b/>
                <w:noProof/>
                <w:sz w:val="24"/>
                <w:szCs w:val="24"/>
              </w:rPr>
              <w:t>2500</w:t>
            </w:r>
          </w:p>
        </w:tc>
      </w:tr>
      <w:tr w:rsidR="0015498A" w:rsidTr="00F849E5">
        <w:tc>
          <w:tcPr>
            <w:tcW w:w="3137" w:type="dxa"/>
          </w:tcPr>
          <w:p w:rsidR="0015498A" w:rsidRPr="00F849E5" w:rsidRDefault="0015498A" w:rsidP="00092C13">
            <w:pPr>
              <w:rPr>
                <w:b/>
                <w:noProof/>
                <w:sz w:val="24"/>
                <w:szCs w:val="24"/>
              </w:rPr>
            </w:pPr>
            <w:r w:rsidRPr="00F849E5">
              <w:rPr>
                <w:b/>
                <w:noProof/>
                <w:sz w:val="24"/>
                <w:szCs w:val="24"/>
              </w:rPr>
              <w:t xml:space="preserve">        Control</w:t>
            </w:r>
          </w:p>
        </w:tc>
        <w:tc>
          <w:tcPr>
            <w:tcW w:w="1210" w:type="dxa"/>
          </w:tcPr>
          <w:p w:rsidR="0015498A" w:rsidRPr="00F849E5" w:rsidRDefault="0015498A" w:rsidP="00092C13">
            <w:pPr>
              <w:rPr>
                <w:b/>
                <w:noProof/>
                <w:sz w:val="24"/>
                <w:szCs w:val="24"/>
              </w:rPr>
            </w:pPr>
            <w:r w:rsidRPr="00F849E5">
              <w:rPr>
                <w:b/>
                <w:noProof/>
                <w:sz w:val="24"/>
                <w:szCs w:val="24"/>
              </w:rPr>
              <w:t>0</w:t>
            </w:r>
          </w:p>
        </w:tc>
        <w:tc>
          <w:tcPr>
            <w:tcW w:w="1210" w:type="dxa"/>
          </w:tcPr>
          <w:p w:rsidR="0015498A" w:rsidRPr="00F849E5" w:rsidRDefault="00F849E5" w:rsidP="00092C13">
            <w:pPr>
              <w:rPr>
                <w:b/>
                <w:noProof/>
                <w:sz w:val="24"/>
                <w:szCs w:val="24"/>
              </w:rPr>
            </w:pPr>
            <w:r w:rsidRPr="00F849E5">
              <w:rPr>
                <w:b/>
                <w:noProof/>
                <w:sz w:val="24"/>
                <w:szCs w:val="24"/>
              </w:rPr>
              <w:t>1250</w:t>
            </w:r>
          </w:p>
        </w:tc>
        <w:tc>
          <w:tcPr>
            <w:tcW w:w="1210" w:type="dxa"/>
          </w:tcPr>
          <w:p w:rsidR="0015498A" w:rsidRPr="00F849E5" w:rsidRDefault="00F849E5" w:rsidP="00092C13">
            <w:pPr>
              <w:rPr>
                <w:b/>
                <w:noProof/>
                <w:sz w:val="24"/>
                <w:szCs w:val="24"/>
              </w:rPr>
            </w:pPr>
            <w:r w:rsidRPr="00F849E5">
              <w:rPr>
                <w:b/>
                <w:noProof/>
                <w:sz w:val="24"/>
                <w:szCs w:val="24"/>
              </w:rPr>
              <w:t>0</w:t>
            </w:r>
          </w:p>
        </w:tc>
        <w:tc>
          <w:tcPr>
            <w:tcW w:w="883" w:type="dxa"/>
          </w:tcPr>
          <w:p w:rsidR="0015498A" w:rsidRPr="00F849E5" w:rsidRDefault="00F849E5" w:rsidP="00092C13">
            <w:pPr>
              <w:rPr>
                <w:b/>
                <w:noProof/>
                <w:sz w:val="24"/>
                <w:szCs w:val="24"/>
              </w:rPr>
            </w:pPr>
            <w:r w:rsidRPr="00F849E5">
              <w:rPr>
                <w:b/>
                <w:noProof/>
                <w:sz w:val="24"/>
                <w:szCs w:val="24"/>
              </w:rPr>
              <w:t>1250</w:t>
            </w:r>
          </w:p>
        </w:tc>
      </w:tr>
      <w:tr w:rsidR="0015498A" w:rsidTr="00F849E5">
        <w:tc>
          <w:tcPr>
            <w:tcW w:w="3137" w:type="dxa"/>
          </w:tcPr>
          <w:p w:rsidR="0015498A" w:rsidRPr="00F849E5" w:rsidRDefault="0015498A" w:rsidP="00092C13">
            <w:pPr>
              <w:rPr>
                <w:b/>
                <w:noProof/>
                <w:sz w:val="24"/>
                <w:szCs w:val="24"/>
              </w:rPr>
            </w:pPr>
            <w:r w:rsidRPr="00F849E5">
              <w:rPr>
                <w:b/>
                <w:noProof/>
                <w:sz w:val="24"/>
                <w:szCs w:val="24"/>
              </w:rPr>
              <w:t xml:space="preserve">        Enrep follow-up single</w:t>
            </w:r>
          </w:p>
        </w:tc>
        <w:tc>
          <w:tcPr>
            <w:tcW w:w="1210" w:type="dxa"/>
          </w:tcPr>
          <w:p w:rsidR="0015498A" w:rsidRPr="00F849E5" w:rsidRDefault="0015498A" w:rsidP="00092C13">
            <w:pPr>
              <w:rPr>
                <w:b/>
                <w:noProof/>
                <w:sz w:val="24"/>
                <w:szCs w:val="24"/>
              </w:rPr>
            </w:pPr>
            <w:r w:rsidRPr="00F849E5">
              <w:rPr>
                <w:b/>
                <w:noProof/>
                <w:sz w:val="24"/>
                <w:szCs w:val="24"/>
              </w:rPr>
              <w:t>0</w:t>
            </w:r>
          </w:p>
        </w:tc>
        <w:tc>
          <w:tcPr>
            <w:tcW w:w="1210" w:type="dxa"/>
          </w:tcPr>
          <w:p w:rsidR="0015498A" w:rsidRPr="00F849E5" w:rsidRDefault="00F849E5" w:rsidP="00092C13">
            <w:pPr>
              <w:rPr>
                <w:b/>
                <w:noProof/>
                <w:sz w:val="24"/>
                <w:szCs w:val="24"/>
              </w:rPr>
            </w:pPr>
            <w:r w:rsidRPr="00F849E5">
              <w:rPr>
                <w:b/>
                <w:noProof/>
                <w:sz w:val="24"/>
                <w:szCs w:val="24"/>
              </w:rPr>
              <w:t>375</w:t>
            </w:r>
          </w:p>
        </w:tc>
        <w:tc>
          <w:tcPr>
            <w:tcW w:w="1210" w:type="dxa"/>
          </w:tcPr>
          <w:p w:rsidR="0015498A" w:rsidRPr="00F849E5" w:rsidRDefault="00F849E5" w:rsidP="00092C13">
            <w:pPr>
              <w:rPr>
                <w:b/>
                <w:noProof/>
                <w:sz w:val="24"/>
                <w:szCs w:val="24"/>
              </w:rPr>
            </w:pPr>
            <w:r w:rsidRPr="00F849E5">
              <w:rPr>
                <w:b/>
                <w:noProof/>
                <w:sz w:val="24"/>
                <w:szCs w:val="24"/>
              </w:rPr>
              <w:t>750</w:t>
            </w:r>
          </w:p>
        </w:tc>
        <w:tc>
          <w:tcPr>
            <w:tcW w:w="883" w:type="dxa"/>
          </w:tcPr>
          <w:p w:rsidR="0015498A" w:rsidRPr="00F849E5" w:rsidRDefault="00F849E5" w:rsidP="00092C13">
            <w:pPr>
              <w:rPr>
                <w:b/>
                <w:noProof/>
                <w:sz w:val="24"/>
                <w:szCs w:val="24"/>
              </w:rPr>
            </w:pPr>
            <w:r w:rsidRPr="00F849E5">
              <w:rPr>
                <w:b/>
                <w:noProof/>
                <w:sz w:val="24"/>
                <w:szCs w:val="24"/>
              </w:rPr>
              <w:t>1125</w:t>
            </w:r>
          </w:p>
        </w:tc>
      </w:tr>
      <w:tr w:rsidR="0015498A" w:rsidTr="00F849E5">
        <w:tc>
          <w:tcPr>
            <w:tcW w:w="3137" w:type="dxa"/>
          </w:tcPr>
          <w:p w:rsidR="0015498A" w:rsidRPr="00F849E5" w:rsidRDefault="0015498A" w:rsidP="00092C13">
            <w:pPr>
              <w:rPr>
                <w:b/>
                <w:noProof/>
                <w:sz w:val="24"/>
                <w:szCs w:val="24"/>
              </w:rPr>
            </w:pPr>
            <w:r w:rsidRPr="00F849E5">
              <w:rPr>
                <w:b/>
                <w:noProof/>
                <w:sz w:val="24"/>
                <w:szCs w:val="24"/>
              </w:rPr>
              <w:t xml:space="preserve">        Entrep follow-up pair</w:t>
            </w:r>
          </w:p>
        </w:tc>
        <w:tc>
          <w:tcPr>
            <w:tcW w:w="1210" w:type="dxa"/>
          </w:tcPr>
          <w:p w:rsidR="0015498A" w:rsidRPr="00F849E5" w:rsidRDefault="0015498A" w:rsidP="00092C13">
            <w:pPr>
              <w:rPr>
                <w:b/>
                <w:noProof/>
                <w:sz w:val="24"/>
                <w:szCs w:val="24"/>
              </w:rPr>
            </w:pPr>
            <w:r w:rsidRPr="00F849E5">
              <w:rPr>
                <w:b/>
                <w:noProof/>
                <w:sz w:val="24"/>
                <w:szCs w:val="24"/>
              </w:rPr>
              <w:t>0</w:t>
            </w:r>
          </w:p>
        </w:tc>
        <w:tc>
          <w:tcPr>
            <w:tcW w:w="1210" w:type="dxa"/>
          </w:tcPr>
          <w:p w:rsidR="0015498A" w:rsidRPr="00F849E5" w:rsidRDefault="00F849E5" w:rsidP="00092C13">
            <w:pPr>
              <w:rPr>
                <w:b/>
                <w:noProof/>
                <w:sz w:val="24"/>
                <w:szCs w:val="24"/>
              </w:rPr>
            </w:pPr>
            <w:r w:rsidRPr="00F849E5">
              <w:rPr>
                <w:b/>
                <w:noProof/>
                <w:sz w:val="24"/>
                <w:szCs w:val="24"/>
              </w:rPr>
              <w:t>375</w:t>
            </w:r>
          </w:p>
        </w:tc>
        <w:tc>
          <w:tcPr>
            <w:tcW w:w="1210" w:type="dxa"/>
          </w:tcPr>
          <w:p w:rsidR="0015498A" w:rsidRPr="00F849E5" w:rsidRDefault="00F849E5" w:rsidP="00092C13">
            <w:pPr>
              <w:rPr>
                <w:b/>
                <w:noProof/>
                <w:sz w:val="24"/>
                <w:szCs w:val="24"/>
              </w:rPr>
            </w:pPr>
            <w:r w:rsidRPr="00F849E5">
              <w:rPr>
                <w:b/>
                <w:noProof/>
                <w:sz w:val="24"/>
                <w:szCs w:val="24"/>
              </w:rPr>
              <w:t>750</w:t>
            </w:r>
          </w:p>
        </w:tc>
        <w:tc>
          <w:tcPr>
            <w:tcW w:w="883" w:type="dxa"/>
          </w:tcPr>
          <w:p w:rsidR="0015498A" w:rsidRPr="00F849E5" w:rsidRDefault="00F849E5" w:rsidP="00092C13">
            <w:pPr>
              <w:rPr>
                <w:b/>
                <w:noProof/>
                <w:sz w:val="24"/>
                <w:szCs w:val="24"/>
              </w:rPr>
            </w:pPr>
            <w:r w:rsidRPr="00F849E5">
              <w:rPr>
                <w:b/>
                <w:noProof/>
                <w:sz w:val="24"/>
                <w:szCs w:val="24"/>
              </w:rPr>
              <w:t>1125</w:t>
            </w:r>
          </w:p>
        </w:tc>
      </w:tr>
      <w:tr w:rsidR="0015498A" w:rsidTr="00F849E5">
        <w:tc>
          <w:tcPr>
            <w:tcW w:w="3137" w:type="dxa"/>
          </w:tcPr>
          <w:p w:rsidR="0015498A" w:rsidRPr="00F849E5" w:rsidRDefault="0015498A" w:rsidP="00092C13">
            <w:pPr>
              <w:rPr>
                <w:b/>
                <w:noProof/>
                <w:sz w:val="24"/>
                <w:szCs w:val="24"/>
              </w:rPr>
            </w:pPr>
            <w:r w:rsidRPr="00F849E5">
              <w:rPr>
                <w:b/>
                <w:noProof/>
                <w:sz w:val="24"/>
                <w:szCs w:val="24"/>
              </w:rPr>
              <w:t xml:space="preserve">        Wage follow-up 16-18</w:t>
            </w:r>
          </w:p>
        </w:tc>
        <w:tc>
          <w:tcPr>
            <w:tcW w:w="1210" w:type="dxa"/>
          </w:tcPr>
          <w:p w:rsidR="0015498A" w:rsidRPr="00F849E5" w:rsidRDefault="0015498A" w:rsidP="00092C13">
            <w:pPr>
              <w:rPr>
                <w:b/>
                <w:noProof/>
                <w:sz w:val="24"/>
                <w:szCs w:val="24"/>
              </w:rPr>
            </w:pPr>
            <w:r w:rsidRPr="00F849E5">
              <w:rPr>
                <w:b/>
                <w:noProof/>
                <w:sz w:val="24"/>
                <w:szCs w:val="24"/>
              </w:rPr>
              <w:t>0</w:t>
            </w:r>
          </w:p>
        </w:tc>
        <w:tc>
          <w:tcPr>
            <w:tcW w:w="1210" w:type="dxa"/>
          </w:tcPr>
          <w:p w:rsidR="0015498A" w:rsidRPr="00F849E5" w:rsidRDefault="00F849E5" w:rsidP="00092C13">
            <w:pPr>
              <w:rPr>
                <w:b/>
                <w:noProof/>
                <w:sz w:val="24"/>
                <w:szCs w:val="24"/>
              </w:rPr>
            </w:pPr>
            <w:r w:rsidRPr="00F849E5">
              <w:rPr>
                <w:b/>
                <w:noProof/>
                <w:sz w:val="24"/>
                <w:szCs w:val="24"/>
              </w:rPr>
              <w:t>250</w:t>
            </w:r>
          </w:p>
        </w:tc>
        <w:tc>
          <w:tcPr>
            <w:tcW w:w="1210" w:type="dxa"/>
          </w:tcPr>
          <w:p w:rsidR="0015498A" w:rsidRPr="00F849E5" w:rsidRDefault="00F849E5" w:rsidP="00092C13">
            <w:pPr>
              <w:rPr>
                <w:b/>
                <w:noProof/>
                <w:sz w:val="24"/>
                <w:szCs w:val="24"/>
              </w:rPr>
            </w:pPr>
            <w:r w:rsidRPr="00F849E5">
              <w:rPr>
                <w:b/>
                <w:noProof/>
                <w:sz w:val="24"/>
                <w:szCs w:val="24"/>
              </w:rPr>
              <w:t>500</w:t>
            </w:r>
          </w:p>
        </w:tc>
        <w:tc>
          <w:tcPr>
            <w:tcW w:w="883" w:type="dxa"/>
          </w:tcPr>
          <w:p w:rsidR="0015498A" w:rsidRPr="00F849E5" w:rsidRDefault="00F849E5" w:rsidP="00092C13">
            <w:pPr>
              <w:rPr>
                <w:b/>
                <w:noProof/>
                <w:sz w:val="24"/>
                <w:szCs w:val="24"/>
              </w:rPr>
            </w:pPr>
            <w:r w:rsidRPr="00F849E5">
              <w:rPr>
                <w:b/>
                <w:noProof/>
                <w:sz w:val="24"/>
                <w:szCs w:val="24"/>
              </w:rPr>
              <w:t>750</w:t>
            </w:r>
          </w:p>
        </w:tc>
      </w:tr>
      <w:tr w:rsidR="0015498A" w:rsidTr="00F849E5">
        <w:tc>
          <w:tcPr>
            <w:tcW w:w="3137" w:type="dxa"/>
          </w:tcPr>
          <w:p w:rsidR="0015498A" w:rsidRPr="00F849E5" w:rsidRDefault="0015498A" w:rsidP="00092C13">
            <w:pPr>
              <w:rPr>
                <w:b/>
                <w:noProof/>
                <w:sz w:val="24"/>
                <w:szCs w:val="24"/>
              </w:rPr>
            </w:pPr>
            <w:r w:rsidRPr="00F849E5">
              <w:rPr>
                <w:b/>
                <w:noProof/>
                <w:sz w:val="24"/>
                <w:szCs w:val="24"/>
              </w:rPr>
              <w:t xml:space="preserve">        Wage follow-up 19-24</w:t>
            </w:r>
          </w:p>
        </w:tc>
        <w:tc>
          <w:tcPr>
            <w:tcW w:w="1210" w:type="dxa"/>
          </w:tcPr>
          <w:p w:rsidR="0015498A" w:rsidRPr="00F849E5" w:rsidRDefault="0015498A" w:rsidP="00092C13">
            <w:pPr>
              <w:rPr>
                <w:b/>
                <w:noProof/>
                <w:sz w:val="24"/>
                <w:szCs w:val="24"/>
              </w:rPr>
            </w:pPr>
            <w:r w:rsidRPr="00F849E5">
              <w:rPr>
                <w:b/>
                <w:noProof/>
                <w:sz w:val="24"/>
                <w:szCs w:val="24"/>
              </w:rPr>
              <w:t>0</w:t>
            </w:r>
          </w:p>
        </w:tc>
        <w:tc>
          <w:tcPr>
            <w:tcW w:w="1210" w:type="dxa"/>
          </w:tcPr>
          <w:p w:rsidR="0015498A" w:rsidRPr="00F849E5" w:rsidRDefault="00F849E5" w:rsidP="00092C13">
            <w:pPr>
              <w:rPr>
                <w:b/>
                <w:noProof/>
                <w:sz w:val="24"/>
                <w:szCs w:val="24"/>
              </w:rPr>
            </w:pPr>
            <w:r w:rsidRPr="00F849E5">
              <w:rPr>
                <w:b/>
                <w:noProof/>
                <w:sz w:val="24"/>
                <w:szCs w:val="24"/>
              </w:rPr>
              <w:t>250</w:t>
            </w:r>
          </w:p>
        </w:tc>
        <w:tc>
          <w:tcPr>
            <w:tcW w:w="1210" w:type="dxa"/>
          </w:tcPr>
          <w:p w:rsidR="0015498A" w:rsidRPr="00F849E5" w:rsidRDefault="00F849E5" w:rsidP="00092C13">
            <w:pPr>
              <w:rPr>
                <w:b/>
                <w:noProof/>
                <w:sz w:val="24"/>
                <w:szCs w:val="24"/>
              </w:rPr>
            </w:pPr>
            <w:r w:rsidRPr="00F849E5">
              <w:rPr>
                <w:b/>
                <w:noProof/>
                <w:sz w:val="24"/>
                <w:szCs w:val="24"/>
              </w:rPr>
              <w:t>500</w:t>
            </w:r>
          </w:p>
        </w:tc>
        <w:tc>
          <w:tcPr>
            <w:tcW w:w="883" w:type="dxa"/>
          </w:tcPr>
          <w:p w:rsidR="0015498A" w:rsidRPr="00F849E5" w:rsidRDefault="00F849E5" w:rsidP="00092C13">
            <w:pPr>
              <w:rPr>
                <w:b/>
                <w:noProof/>
                <w:sz w:val="24"/>
                <w:szCs w:val="24"/>
              </w:rPr>
            </w:pPr>
            <w:r w:rsidRPr="00F849E5">
              <w:rPr>
                <w:b/>
                <w:noProof/>
                <w:sz w:val="24"/>
                <w:szCs w:val="24"/>
              </w:rPr>
              <w:t>750</w:t>
            </w:r>
          </w:p>
        </w:tc>
      </w:tr>
      <w:tr w:rsidR="0015498A" w:rsidTr="00F849E5">
        <w:tc>
          <w:tcPr>
            <w:tcW w:w="3137" w:type="dxa"/>
          </w:tcPr>
          <w:p w:rsidR="0015498A" w:rsidRPr="00F849E5" w:rsidRDefault="0015498A" w:rsidP="00092C13">
            <w:pPr>
              <w:rPr>
                <w:b/>
                <w:noProof/>
                <w:sz w:val="24"/>
                <w:szCs w:val="24"/>
              </w:rPr>
            </w:pPr>
            <w:r w:rsidRPr="00F849E5">
              <w:rPr>
                <w:b/>
                <w:noProof/>
                <w:sz w:val="24"/>
                <w:szCs w:val="24"/>
              </w:rPr>
              <w:t>Total</w:t>
            </w:r>
          </w:p>
        </w:tc>
        <w:tc>
          <w:tcPr>
            <w:tcW w:w="1210" w:type="dxa"/>
          </w:tcPr>
          <w:p w:rsidR="0015498A" w:rsidRPr="00F849E5" w:rsidRDefault="0015498A" w:rsidP="00092C13">
            <w:pPr>
              <w:rPr>
                <w:b/>
                <w:noProof/>
                <w:sz w:val="24"/>
                <w:szCs w:val="24"/>
              </w:rPr>
            </w:pPr>
            <w:r w:rsidRPr="00F849E5">
              <w:rPr>
                <w:b/>
                <w:noProof/>
                <w:sz w:val="24"/>
                <w:szCs w:val="24"/>
              </w:rPr>
              <w:t>2500</w:t>
            </w:r>
          </w:p>
        </w:tc>
        <w:tc>
          <w:tcPr>
            <w:tcW w:w="1210" w:type="dxa"/>
          </w:tcPr>
          <w:p w:rsidR="0015498A" w:rsidRPr="00F849E5" w:rsidRDefault="00F849E5" w:rsidP="00092C13">
            <w:pPr>
              <w:rPr>
                <w:b/>
                <w:noProof/>
                <w:sz w:val="24"/>
                <w:szCs w:val="24"/>
              </w:rPr>
            </w:pPr>
            <w:r w:rsidRPr="00F849E5">
              <w:rPr>
                <w:b/>
                <w:noProof/>
                <w:sz w:val="24"/>
                <w:szCs w:val="24"/>
              </w:rPr>
              <w:t>2500</w:t>
            </w:r>
          </w:p>
        </w:tc>
        <w:tc>
          <w:tcPr>
            <w:tcW w:w="1210" w:type="dxa"/>
          </w:tcPr>
          <w:p w:rsidR="0015498A" w:rsidRPr="00F849E5" w:rsidRDefault="00F849E5" w:rsidP="00092C13">
            <w:pPr>
              <w:rPr>
                <w:b/>
                <w:noProof/>
                <w:sz w:val="24"/>
                <w:szCs w:val="24"/>
              </w:rPr>
            </w:pPr>
            <w:r w:rsidRPr="00F849E5">
              <w:rPr>
                <w:b/>
                <w:noProof/>
                <w:sz w:val="24"/>
                <w:szCs w:val="24"/>
              </w:rPr>
              <w:t>2500</w:t>
            </w:r>
          </w:p>
        </w:tc>
        <w:tc>
          <w:tcPr>
            <w:tcW w:w="883" w:type="dxa"/>
          </w:tcPr>
          <w:p w:rsidR="0015498A" w:rsidRPr="00F849E5" w:rsidRDefault="00F849E5" w:rsidP="00092C13">
            <w:pPr>
              <w:rPr>
                <w:b/>
                <w:noProof/>
                <w:sz w:val="24"/>
                <w:szCs w:val="24"/>
              </w:rPr>
            </w:pPr>
            <w:r w:rsidRPr="00F849E5">
              <w:rPr>
                <w:b/>
                <w:noProof/>
                <w:sz w:val="24"/>
                <w:szCs w:val="24"/>
              </w:rPr>
              <w:t>7500</w:t>
            </w:r>
          </w:p>
        </w:tc>
      </w:tr>
      <w:tr w:rsidR="0015498A" w:rsidTr="00F849E5">
        <w:tc>
          <w:tcPr>
            <w:tcW w:w="3137" w:type="dxa"/>
          </w:tcPr>
          <w:p w:rsidR="0015498A" w:rsidRPr="00F849E5" w:rsidRDefault="0015498A" w:rsidP="00092C13">
            <w:pPr>
              <w:rPr>
                <w:b/>
                <w:noProof/>
                <w:sz w:val="24"/>
                <w:szCs w:val="24"/>
              </w:rPr>
            </w:pPr>
            <w:r w:rsidRPr="00F849E5">
              <w:rPr>
                <w:b/>
                <w:noProof/>
                <w:sz w:val="24"/>
                <w:szCs w:val="24"/>
              </w:rPr>
              <w:t>Exit polls</w:t>
            </w:r>
          </w:p>
        </w:tc>
        <w:tc>
          <w:tcPr>
            <w:tcW w:w="1210" w:type="dxa"/>
          </w:tcPr>
          <w:p w:rsidR="0015498A" w:rsidRPr="00F849E5" w:rsidRDefault="0015498A" w:rsidP="00092C13">
            <w:pPr>
              <w:rPr>
                <w:b/>
                <w:noProof/>
                <w:sz w:val="24"/>
                <w:szCs w:val="24"/>
              </w:rPr>
            </w:pPr>
          </w:p>
        </w:tc>
        <w:tc>
          <w:tcPr>
            <w:tcW w:w="1210" w:type="dxa"/>
          </w:tcPr>
          <w:p w:rsidR="0015498A" w:rsidRPr="00F849E5" w:rsidRDefault="0015498A" w:rsidP="00092C13">
            <w:pPr>
              <w:rPr>
                <w:b/>
                <w:noProof/>
                <w:sz w:val="24"/>
                <w:szCs w:val="24"/>
              </w:rPr>
            </w:pPr>
          </w:p>
        </w:tc>
        <w:tc>
          <w:tcPr>
            <w:tcW w:w="1210" w:type="dxa"/>
          </w:tcPr>
          <w:p w:rsidR="0015498A" w:rsidRPr="00F849E5" w:rsidRDefault="0015498A" w:rsidP="00092C13">
            <w:pPr>
              <w:rPr>
                <w:b/>
                <w:noProof/>
                <w:sz w:val="24"/>
                <w:szCs w:val="24"/>
              </w:rPr>
            </w:pPr>
          </w:p>
        </w:tc>
        <w:tc>
          <w:tcPr>
            <w:tcW w:w="883" w:type="dxa"/>
          </w:tcPr>
          <w:p w:rsidR="0015498A" w:rsidRPr="00F849E5" w:rsidRDefault="0015498A" w:rsidP="00092C13">
            <w:pPr>
              <w:rPr>
                <w:b/>
                <w:noProof/>
                <w:sz w:val="24"/>
                <w:szCs w:val="24"/>
              </w:rPr>
            </w:pPr>
          </w:p>
        </w:tc>
      </w:tr>
      <w:tr w:rsidR="0015498A" w:rsidTr="00F849E5">
        <w:tc>
          <w:tcPr>
            <w:tcW w:w="3137" w:type="dxa"/>
          </w:tcPr>
          <w:p w:rsidR="0015498A" w:rsidRPr="00F849E5" w:rsidRDefault="0015498A" w:rsidP="00092C13">
            <w:pPr>
              <w:rPr>
                <w:b/>
                <w:noProof/>
                <w:sz w:val="24"/>
                <w:szCs w:val="24"/>
              </w:rPr>
            </w:pPr>
            <w:r w:rsidRPr="00F849E5">
              <w:rPr>
                <w:b/>
                <w:noProof/>
                <w:sz w:val="24"/>
                <w:szCs w:val="24"/>
              </w:rPr>
              <w:t xml:space="preserve">        Entrepreneurship</w:t>
            </w:r>
          </w:p>
        </w:tc>
        <w:tc>
          <w:tcPr>
            <w:tcW w:w="1210" w:type="dxa"/>
          </w:tcPr>
          <w:p w:rsidR="0015498A" w:rsidRPr="00F849E5" w:rsidRDefault="0015498A" w:rsidP="00092C13">
            <w:pPr>
              <w:rPr>
                <w:b/>
                <w:noProof/>
                <w:sz w:val="24"/>
                <w:szCs w:val="24"/>
              </w:rPr>
            </w:pPr>
            <w:r w:rsidRPr="00F849E5">
              <w:rPr>
                <w:b/>
                <w:noProof/>
                <w:sz w:val="24"/>
                <w:szCs w:val="24"/>
              </w:rPr>
              <w:t>0</w:t>
            </w:r>
          </w:p>
        </w:tc>
        <w:tc>
          <w:tcPr>
            <w:tcW w:w="1210" w:type="dxa"/>
          </w:tcPr>
          <w:p w:rsidR="0015498A" w:rsidRPr="00F849E5" w:rsidRDefault="0015498A" w:rsidP="00092C13">
            <w:pPr>
              <w:rPr>
                <w:b/>
                <w:noProof/>
                <w:sz w:val="24"/>
                <w:szCs w:val="24"/>
              </w:rPr>
            </w:pPr>
            <w:r w:rsidRPr="00F849E5">
              <w:rPr>
                <w:b/>
                <w:noProof/>
                <w:sz w:val="24"/>
                <w:szCs w:val="24"/>
              </w:rPr>
              <w:t>750</w:t>
            </w:r>
          </w:p>
        </w:tc>
        <w:tc>
          <w:tcPr>
            <w:tcW w:w="1210" w:type="dxa"/>
          </w:tcPr>
          <w:p w:rsidR="0015498A" w:rsidRPr="00F849E5" w:rsidRDefault="0015498A" w:rsidP="00092C13">
            <w:pPr>
              <w:rPr>
                <w:b/>
                <w:noProof/>
                <w:sz w:val="24"/>
                <w:szCs w:val="24"/>
              </w:rPr>
            </w:pPr>
            <w:r w:rsidRPr="00F849E5">
              <w:rPr>
                <w:b/>
                <w:noProof/>
                <w:sz w:val="24"/>
                <w:szCs w:val="24"/>
              </w:rPr>
              <w:t>750</w:t>
            </w:r>
          </w:p>
        </w:tc>
        <w:tc>
          <w:tcPr>
            <w:tcW w:w="883" w:type="dxa"/>
          </w:tcPr>
          <w:p w:rsidR="0015498A" w:rsidRPr="00F849E5" w:rsidRDefault="00F849E5" w:rsidP="00092C13">
            <w:pPr>
              <w:rPr>
                <w:b/>
                <w:noProof/>
                <w:sz w:val="24"/>
                <w:szCs w:val="24"/>
              </w:rPr>
            </w:pPr>
            <w:r w:rsidRPr="00F849E5">
              <w:rPr>
                <w:b/>
                <w:noProof/>
                <w:sz w:val="24"/>
                <w:szCs w:val="24"/>
              </w:rPr>
              <w:t>1500</w:t>
            </w:r>
          </w:p>
        </w:tc>
      </w:tr>
      <w:tr w:rsidR="0015498A" w:rsidTr="00F849E5">
        <w:tc>
          <w:tcPr>
            <w:tcW w:w="3137" w:type="dxa"/>
            <w:tcBorders>
              <w:bottom w:val="nil"/>
            </w:tcBorders>
          </w:tcPr>
          <w:p w:rsidR="0015498A" w:rsidRPr="00F849E5" w:rsidRDefault="0015498A" w:rsidP="00092C13">
            <w:pPr>
              <w:rPr>
                <w:b/>
                <w:noProof/>
                <w:sz w:val="24"/>
                <w:szCs w:val="24"/>
              </w:rPr>
            </w:pPr>
            <w:r w:rsidRPr="00F849E5">
              <w:rPr>
                <w:b/>
                <w:noProof/>
                <w:sz w:val="24"/>
                <w:szCs w:val="24"/>
              </w:rPr>
              <w:t xml:space="preserve">        Wage Employment</w:t>
            </w:r>
          </w:p>
        </w:tc>
        <w:tc>
          <w:tcPr>
            <w:tcW w:w="1210" w:type="dxa"/>
            <w:tcBorders>
              <w:bottom w:val="nil"/>
            </w:tcBorders>
          </w:tcPr>
          <w:p w:rsidR="0015498A" w:rsidRPr="00F849E5" w:rsidRDefault="0015498A" w:rsidP="00092C13">
            <w:pPr>
              <w:rPr>
                <w:b/>
                <w:noProof/>
                <w:sz w:val="24"/>
                <w:szCs w:val="24"/>
              </w:rPr>
            </w:pPr>
            <w:r w:rsidRPr="00F849E5">
              <w:rPr>
                <w:b/>
                <w:noProof/>
                <w:sz w:val="24"/>
                <w:szCs w:val="24"/>
              </w:rPr>
              <w:t>0</w:t>
            </w:r>
          </w:p>
        </w:tc>
        <w:tc>
          <w:tcPr>
            <w:tcW w:w="1210" w:type="dxa"/>
            <w:tcBorders>
              <w:bottom w:val="nil"/>
            </w:tcBorders>
          </w:tcPr>
          <w:p w:rsidR="0015498A" w:rsidRPr="00F849E5" w:rsidRDefault="0015498A" w:rsidP="00092C13">
            <w:pPr>
              <w:rPr>
                <w:b/>
                <w:noProof/>
                <w:sz w:val="24"/>
                <w:szCs w:val="24"/>
              </w:rPr>
            </w:pPr>
            <w:r w:rsidRPr="00F849E5">
              <w:rPr>
                <w:b/>
                <w:noProof/>
                <w:sz w:val="24"/>
                <w:szCs w:val="24"/>
              </w:rPr>
              <w:t>500</w:t>
            </w:r>
          </w:p>
        </w:tc>
        <w:tc>
          <w:tcPr>
            <w:tcW w:w="1210" w:type="dxa"/>
            <w:tcBorders>
              <w:bottom w:val="nil"/>
            </w:tcBorders>
          </w:tcPr>
          <w:p w:rsidR="0015498A" w:rsidRPr="00F849E5" w:rsidRDefault="0015498A" w:rsidP="00092C13">
            <w:pPr>
              <w:rPr>
                <w:b/>
                <w:noProof/>
                <w:sz w:val="24"/>
                <w:szCs w:val="24"/>
              </w:rPr>
            </w:pPr>
            <w:r w:rsidRPr="00F849E5">
              <w:rPr>
                <w:b/>
                <w:noProof/>
                <w:sz w:val="24"/>
                <w:szCs w:val="24"/>
              </w:rPr>
              <w:t>500</w:t>
            </w:r>
          </w:p>
        </w:tc>
        <w:tc>
          <w:tcPr>
            <w:tcW w:w="883" w:type="dxa"/>
            <w:tcBorders>
              <w:bottom w:val="nil"/>
            </w:tcBorders>
          </w:tcPr>
          <w:p w:rsidR="0015498A" w:rsidRPr="00F849E5" w:rsidRDefault="00F849E5" w:rsidP="00092C13">
            <w:pPr>
              <w:rPr>
                <w:b/>
                <w:noProof/>
                <w:sz w:val="24"/>
                <w:szCs w:val="24"/>
              </w:rPr>
            </w:pPr>
            <w:r w:rsidRPr="00F849E5">
              <w:rPr>
                <w:b/>
                <w:noProof/>
                <w:sz w:val="24"/>
                <w:szCs w:val="24"/>
              </w:rPr>
              <w:t>1000</w:t>
            </w:r>
          </w:p>
        </w:tc>
      </w:tr>
      <w:tr w:rsidR="0015498A" w:rsidTr="00F849E5">
        <w:tc>
          <w:tcPr>
            <w:tcW w:w="3137" w:type="dxa"/>
            <w:tcBorders>
              <w:top w:val="nil"/>
              <w:bottom w:val="single" w:sz="12" w:space="0" w:color="008000"/>
            </w:tcBorders>
          </w:tcPr>
          <w:p w:rsidR="0015498A" w:rsidRPr="00F849E5" w:rsidRDefault="0015498A" w:rsidP="00092C13">
            <w:pPr>
              <w:rPr>
                <w:b/>
                <w:noProof/>
                <w:sz w:val="24"/>
                <w:szCs w:val="24"/>
              </w:rPr>
            </w:pPr>
            <w:r w:rsidRPr="00F849E5">
              <w:rPr>
                <w:b/>
                <w:noProof/>
                <w:sz w:val="24"/>
                <w:szCs w:val="24"/>
              </w:rPr>
              <w:t>Total</w:t>
            </w:r>
          </w:p>
        </w:tc>
        <w:tc>
          <w:tcPr>
            <w:tcW w:w="1210" w:type="dxa"/>
            <w:tcBorders>
              <w:top w:val="nil"/>
              <w:bottom w:val="single" w:sz="12" w:space="0" w:color="008000"/>
            </w:tcBorders>
          </w:tcPr>
          <w:p w:rsidR="0015498A" w:rsidRPr="00F849E5" w:rsidRDefault="0015498A" w:rsidP="00092C13">
            <w:pPr>
              <w:rPr>
                <w:b/>
                <w:noProof/>
                <w:sz w:val="24"/>
                <w:szCs w:val="24"/>
              </w:rPr>
            </w:pPr>
            <w:r w:rsidRPr="00F849E5">
              <w:rPr>
                <w:b/>
                <w:noProof/>
                <w:sz w:val="24"/>
                <w:szCs w:val="24"/>
              </w:rPr>
              <w:t>0</w:t>
            </w:r>
          </w:p>
        </w:tc>
        <w:tc>
          <w:tcPr>
            <w:tcW w:w="1210" w:type="dxa"/>
            <w:tcBorders>
              <w:top w:val="nil"/>
              <w:bottom w:val="single" w:sz="12" w:space="0" w:color="008000"/>
            </w:tcBorders>
          </w:tcPr>
          <w:p w:rsidR="0015498A" w:rsidRPr="00F849E5" w:rsidRDefault="0015498A" w:rsidP="00092C13">
            <w:pPr>
              <w:rPr>
                <w:b/>
                <w:noProof/>
                <w:sz w:val="24"/>
                <w:szCs w:val="24"/>
              </w:rPr>
            </w:pPr>
            <w:r w:rsidRPr="00F849E5">
              <w:rPr>
                <w:b/>
                <w:noProof/>
                <w:sz w:val="24"/>
                <w:szCs w:val="24"/>
              </w:rPr>
              <w:t>1250</w:t>
            </w:r>
          </w:p>
        </w:tc>
        <w:tc>
          <w:tcPr>
            <w:tcW w:w="1210" w:type="dxa"/>
            <w:tcBorders>
              <w:top w:val="nil"/>
              <w:bottom w:val="single" w:sz="12" w:space="0" w:color="008000"/>
            </w:tcBorders>
          </w:tcPr>
          <w:p w:rsidR="0015498A" w:rsidRPr="00F849E5" w:rsidRDefault="0015498A" w:rsidP="00092C13">
            <w:pPr>
              <w:rPr>
                <w:b/>
                <w:noProof/>
                <w:sz w:val="24"/>
                <w:szCs w:val="24"/>
              </w:rPr>
            </w:pPr>
            <w:r w:rsidRPr="00F849E5">
              <w:rPr>
                <w:b/>
                <w:noProof/>
                <w:sz w:val="24"/>
                <w:szCs w:val="24"/>
              </w:rPr>
              <w:t>1250</w:t>
            </w:r>
          </w:p>
        </w:tc>
        <w:tc>
          <w:tcPr>
            <w:tcW w:w="883" w:type="dxa"/>
            <w:tcBorders>
              <w:top w:val="nil"/>
              <w:bottom w:val="single" w:sz="12" w:space="0" w:color="008000"/>
            </w:tcBorders>
          </w:tcPr>
          <w:p w:rsidR="0015498A" w:rsidRPr="00F849E5" w:rsidRDefault="00F849E5" w:rsidP="00092C13">
            <w:pPr>
              <w:rPr>
                <w:b/>
                <w:noProof/>
                <w:sz w:val="24"/>
                <w:szCs w:val="24"/>
              </w:rPr>
            </w:pPr>
            <w:r w:rsidRPr="00F849E5">
              <w:rPr>
                <w:b/>
                <w:noProof/>
                <w:sz w:val="24"/>
                <w:szCs w:val="24"/>
              </w:rPr>
              <w:t>2500</w:t>
            </w:r>
          </w:p>
        </w:tc>
      </w:tr>
    </w:tbl>
    <w:p w:rsidR="001E2863" w:rsidRDefault="001E2863" w:rsidP="00092C13">
      <w:pPr>
        <w:spacing w:after="0"/>
        <w:rPr>
          <w:rFonts w:ascii="Times New Roman" w:hAnsi="Times New Roman" w:cs="Times New Roman"/>
          <w:b/>
          <w:noProof/>
        </w:rPr>
      </w:pPr>
    </w:p>
    <w:p w:rsidR="001E2863" w:rsidRDefault="001E2863" w:rsidP="00092C13">
      <w:pPr>
        <w:spacing w:after="0"/>
        <w:rPr>
          <w:rFonts w:ascii="Times New Roman" w:hAnsi="Times New Roman" w:cs="Times New Roman"/>
          <w:b/>
          <w:noProof/>
        </w:rPr>
      </w:pPr>
    </w:p>
    <w:p w:rsidR="001E2863" w:rsidRDefault="001E2863" w:rsidP="00092C13">
      <w:pPr>
        <w:spacing w:after="0"/>
        <w:rPr>
          <w:rFonts w:ascii="Times New Roman" w:hAnsi="Times New Roman" w:cs="Times New Roman"/>
          <w:b/>
          <w:noProof/>
        </w:rPr>
      </w:pPr>
    </w:p>
    <w:p w:rsidR="001E2863" w:rsidRDefault="001E2863" w:rsidP="00092C13">
      <w:pPr>
        <w:spacing w:after="0"/>
        <w:rPr>
          <w:rFonts w:ascii="Times New Roman" w:hAnsi="Times New Roman" w:cs="Times New Roman"/>
          <w:b/>
          <w:noProof/>
        </w:rPr>
      </w:pPr>
    </w:p>
    <w:p w:rsidR="00656C37" w:rsidRPr="00092C13" w:rsidRDefault="00656C37" w:rsidP="001E2863">
      <w:pPr>
        <w:spacing w:after="0"/>
        <w:rPr>
          <w:rFonts w:ascii="Times New Roman" w:hAnsi="Times New Roman" w:cs="Times New Roman"/>
        </w:rPr>
      </w:pPr>
    </w:p>
    <w:sectPr w:rsidR="00656C37" w:rsidRPr="00092C13" w:rsidSect="00217789">
      <w:footerReference w:type="default" r:id="rId17"/>
      <w:footerReference w:type="first" r:id="rId18"/>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0567" w:rsidRDefault="000D0567" w:rsidP="005C2682">
      <w:pPr>
        <w:spacing w:after="0" w:line="240" w:lineRule="auto"/>
      </w:pPr>
      <w:r>
        <w:separator/>
      </w:r>
    </w:p>
  </w:endnote>
  <w:endnote w:type="continuationSeparator" w:id="0">
    <w:p w:rsidR="000D0567" w:rsidRDefault="000D0567" w:rsidP="005C26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3A7" w:rsidRDefault="00B60638">
    <w:pPr>
      <w:pStyle w:val="Footer"/>
      <w:framePr w:wrap="auto" w:vAnchor="text" w:hAnchor="margin" w:xAlign="right" w:y="1"/>
      <w:rPr>
        <w:rStyle w:val="PageNumber"/>
        <w:i/>
        <w:sz w:val="20"/>
      </w:rPr>
    </w:pPr>
    <w:r>
      <w:rPr>
        <w:rStyle w:val="PageNumber"/>
        <w:i/>
        <w:sz w:val="20"/>
      </w:rPr>
      <w:fldChar w:fldCharType="begin"/>
    </w:r>
    <w:r w:rsidR="00D03B14">
      <w:rPr>
        <w:rStyle w:val="PageNumber"/>
        <w:i/>
        <w:sz w:val="20"/>
      </w:rPr>
      <w:instrText xml:space="preserve">PAGE  </w:instrText>
    </w:r>
    <w:r>
      <w:rPr>
        <w:rStyle w:val="PageNumber"/>
        <w:i/>
        <w:sz w:val="20"/>
      </w:rPr>
      <w:fldChar w:fldCharType="separate"/>
    </w:r>
    <w:r w:rsidR="002E4421">
      <w:rPr>
        <w:rStyle w:val="PageNumber"/>
        <w:i/>
        <w:noProof/>
        <w:sz w:val="20"/>
      </w:rPr>
      <w:t>6</w:t>
    </w:r>
    <w:r>
      <w:rPr>
        <w:rStyle w:val="PageNumber"/>
        <w:i/>
        <w:sz w:val="20"/>
      </w:rPr>
      <w:fldChar w:fldCharType="end"/>
    </w:r>
  </w:p>
  <w:p w:rsidR="004743A7" w:rsidRDefault="000D0567">
    <w:pPr>
      <w:pStyle w:val="Footer"/>
      <w:ind w:right="360"/>
      <w:rPr>
        <w:i/>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3A7" w:rsidRDefault="00B60638">
    <w:pPr>
      <w:pStyle w:val="Footer"/>
      <w:framePr w:wrap="auto" w:vAnchor="text" w:hAnchor="margin" w:xAlign="right" w:y="1"/>
      <w:rPr>
        <w:rStyle w:val="PageNumber"/>
        <w:i/>
        <w:sz w:val="20"/>
      </w:rPr>
    </w:pPr>
    <w:r>
      <w:rPr>
        <w:rStyle w:val="PageNumber"/>
        <w:i/>
        <w:sz w:val="20"/>
      </w:rPr>
      <w:fldChar w:fldCharType="begin"/>
    </w:r>
    <w:r w:rsidR="00D03B14">
      <w:rPr>
        <w:rStyle w:val="PageNumber"/>
        <w:i/>
        <w:sz w:val="20"/>
      </w:rPr>
      <w:instrText xml:space="preserve">PAGE  </w:instrText>
    </w:r>
    <w:r>
      <w:rPr>
        <w:rStyle w:val="PageNumber"/>
        <w:i/>
        <w:sz w:val="20"/>
      </w:rPr>
      <w:fldChar w:fldCharType="separate"/>
    </w:r>
    <w:r w:rsidR="00D4177D">
      <w:rPr>
        <w:rStyle w:val="PageNumber"/>
        <w:i/>
        <w:noProof/>
        <w:sz w:val="20"/>
      </w:rPr>
      <w:t>10</w:t>
    </w:r>
    <w:r>
      <w:rPr>
        <w:rStyle w:val="PageNumber"/>
        <w:i/>
        <w:sz w:val="20"/>
      </w:rPr>
      <w:fldChar w:fldCharType="end"/>
    </w:r>
  </w:p>
  <w:p w:rsidR="004743A7" w:rsidRDefault="000D0567">
    <w:pPr>
      <w:pStyle w:val="Footer"/>
      <w:ind w:right="360"/>
      <w:rPr>
        <w:i/>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3A7" w:rsidRDefault="00B60638">
    <w:pPr>
      <w:pStyle w:val="Footer"/>
      <w:rPr>
        <w:i/>
        <w:sz w:val="20"/>
      </w:rPr>
    </w:pPr>
    <w:r>
      <w:rPr>
        <w:i/>
        <w:snapToGrid w:val="0"/>
        <w:sz w:val="20"/>
      </w:rPr>
      <w:fldChar w:fldCharType="begin"/>
    </w:r>
    <w:r w:rsidR="00D03B14">
      <w:rPr>
        <w:i/>
        <w:snapToGrid w:val="0"/>
        <w:sz w:val="20"/>
      </w:rPr>
      <w:instrText xml:space="preserve"> FILENAME </w:instrText>
    </w:r>
    <w:r>
      <w:rPr>
        <w:i/>
        <w:snapToGrid w:val="0"/>
        <w:sz w:val="20"/>
      </w:rPr>
      <w:fldChar w:fldCharType="separate"/>
    </w:r>
    <w:r w:rsidR="00D03B14">
      <w:rPr>
        <w:i/>
        <w:noProof/>
        <w:snapToGrid w:val="0"/>
        <w:sz w:val="20"/>
      </w:rPr>
      <w:t>Liberia impact evaluation manual.doc</w:t>
    </w:r>
    <w:r>
      <w:rPr>
        <w:i/>
        <w:snapToGrid w:val="0"/>
        <w:sz w:val="20"/>
      </w:rPr>
      <w:fldChar w:fldCharType="end"/>
    </w:r>
  </w:p>
  <w:p w:rsidR="004743A7" w:rsidRDefault="00B60638">
    <w:pPr>
      <w:pStyle w:val="Footer"/>
    </w:pPr>
    <w:r>
      <w:rPr>
        <w:i/>
        <w:sz w:val="20"/>
      </w:rPr>
      <w:fldChar w:fldCharType="begin"/>
    </w:r>
    <w:r w:rsidR="00D03B14">
      <w:rPr>
        <w:i/>
        <w:sz w:val="20"/>
      </w:rPr>
      <w:instrText xml:space="preserve"> DATE \@ "MM/dd/yy" </w:instrText>
    </w:r>
    <w:r>
      <w:rPr>
        <w:i/>
        <w:sz w:val="20"/>
      </w:rPr>
      <w:fldChar w:fldCharType="separate"/>
    </w:r>
    <w:r w:rsidR="00217789">
      <w:rPr>
        <w:i/>
        <w:noProof/>
        <w:sz w:val="20"/>
      </w:rPr>
      <w:t>09/20/09</w:t>
    </w:r>
    <w:r>
      <w:rPr>
        <w:i/>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0567" w:rsidRDefault="000D0567" w:rsidP="005C2682">
      <w:pPr>
        <w:spacing w:after="0" w:line="240" w:lineRule="auto"/>
      </w:pPr>
      <w:r>
        <w:separator/>
      </w:r>
    </w:p>
  </w:footnote>
  <w:footnote w:type="continuationSeparator" w:id="0">
    <w:p w:rsidR="000D0567" w:rsidRDefault="000D0567" w:rsidP="005C268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439E6"/>
    <w:multiLevelType w:val="multilevel"/>
    <w:tmpl w:val="398C0F12"/>
    <w:lvl w:ilvl="0">
      <w:start w:val="1"/>
      <w:numFmt w:val="none"/>
      <w:pStyle w:val="Heading1a"/>
      <w:suff w:val="nothing"/>
      <w:lvlText w:val="%1"/>
      <w:lvlJc w:val="left"/>
      <w:pPr>
        <w:ind w:left="0" w:firstLine="0"/>
      </w:pPr>
      <w:rPr>
        <w:rFonts w:hint="default"/>
      </w:rPr>
    </w:lvl>
    <w:lvl w:ilvl="1">
      <w:start w:val="1"/>
      <w:numFmt w:val="decimal"/>
      <w:pStyle w:val="MainParanoChapter"/>
      <w:lvlText w:val="%2."/>
      <w:lvlJc w:val="left"/>
      <w:pPr>
        <w:tabs>
          <w:tab w:val="num" w:pos="720"/>
        </w:tabs>
        <w:ind w:left="720" w:hanging="720"/>
      </w:pPr>
      <w:rPr>
        <w:rFonts w:hint="default"/>
        <w:b w:val="0"/>
      </w:rPr>
    </w:lvl>
    <w:lvl w:ilvl="2">
      <w:start w:val="1"/>
      <w:numFmt w:val="lowerLetter"/>
      <w:pStyle w:val="Sub-Para1underX"/>
      <w:lvlText w:val="(%3)"/>
      <w:lvlJc w:val="left"/>
      <w:pPr>
        <w:tabs>
          <w:tab w:val="num" w:pos="1080"/>
        </w:tabs>
        <w:ind w:left="720" w:hanging="360"/>
      </w:pPr>
      <w:rPr>
        <w:rFonts w:hint="default"/>
      </w:rPr>
    </w:lvl>
    <w:lvl w:ilvl="3">
      <w:start w:val="1"/>
      <w:numFmt w:val="lowerRoman"/>
      <w:pStyle w:val="Sub-Para2underX"/>
      <w:lvlText w:val="(%4)"/>
      <w:lvlJc w:val="left"/>
      <w:pPr>
        <w:tabs>
          <w:tab w:val="num" w:pos="1800"/>
        </w:tabs>
        <w:ind w:left="1080" w:hanging="360"/>
      </w:pPr>
      <w:rPr>
        <w:rFonts w:hint="default"/>
      </w:rPr>
    </w:lvl>
    <w:lvl w:ilvl="4">
      <w:start w:val="1"/>
      <w:numFmt w:val="lowerLetter"/>
      <w:pStyle w:val="Sub-Para3underX"/>
      <w:lvlText w:val="%5."/>
      <w:lvlJc w:val="left"/>
      <w:pPr>
        <w:tabs>
          <w:tab w:val="num" w:pos="1440"/>
        </w:tabs>
        <w:ind w:left="1440" w:hanging="360"/>
      </w:pPr>
      <w:rPr>
        <w:rFonts w:hint="default"/>
      </w:rPr>
    </w:lvl>
    <w:lvl w:ilvl="5">
      <w:start w:val="1"/>
      <w:numFmt w:val="lowerRoman"/>
      <w:pStyle w:val="Sub-Para4underX"/>
      <w:lvlText w:val="%6."/>
      <w:lvlJc w:val="left"/>
      <w:pPr>
        <w:tabs>
          <w:tab w:val="num" w:pos="2160"/>
        </w:tabs>
        <w:ind w:left="1800" w:hanging="360"/>
      </w:pPr>
      <w:rPr>
        <w:rFonts w:hint="default"/>
      </w:rPr>
    </w:lvl>
    <w:lvl w:ilvl="6">
      <w:start w:val="1"/>
      <w:numFmt w:val="decimal"/>
      <w:lvlText w:val="%7."/>
      <w:lvlJc w:val="left"/>
      <w:pPr>
        <w:tabs>
          <w:tab w:val="num" w:pos="720"/>
        </w:tabs>
        <w:ind w:left="7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35D20625"/>
    <w:multiLevelType w:val="hybridMultilevel"/>
    <w:tmpl w:val="C27EE6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53594A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5AD61D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65D16033"/>
    <w:multiLevelType w:val="multilevel"/>
    <w:tmpl w:val="4CF4912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691F1ED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6B0F75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6DCE55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7D0F6A8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7"/>
  </w:num>
  <w:num w:numId="3">
    <w:abstractNumId w:val="6"/>
  </w:num>
  <w:num w:numId="4">
    <w:abstractNumId w:val="8"/>
  </w:num>
  <w:num w:numId="5">
    <w:abstractNumId w:val="2"/>
  </w:num>
  <w:num w:numId="6">
    <w:abstractNumId w:val="0"/>
  </w:num>
  <w:num w:numId="7">
    <w:abstractNumId w:val="1"/>
  </w:num>
  <w:num w:numId="8">
    <w:abstractNumId w:val="4"/>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56C37"/>
    <w:rsid w:val="000563BA"/>
    <w:rsid w:val="00092C13"/>
    <w:rsid w:val="000A6EF5"/>
    <w:rsid w:val="000C0348"/>
    <w:rsid w:val="000D0567"/>
    <w:rsid w:val="000E731C"/>
    <w:rsid w:val="00105BA2"/>
    <w:rsid w:val="0015498A"/>
    <w:rsid w:val="001A53A3"/>
    <w:rsid w:val="001D5C62"/>
    <w:rsid w:val="001E0ADB"/>
    <w:rsid w:val="001E2863"/>
    <w:rsid w:val="00217789"/>
    <w:rsid w:val="00236659"/>
    <w:rsid w:val="00274A8E"/>
    <w:rsid w:val="002E4421"/>
    <w:rsid w:val="00383082"/>
    <w:rsid w:val="003B668A"/>
    <w:rsid w:val="003C1F2D"/>
    <w:rsid w:val="003D508D"/>
    <w:rsid w:val="00430996"/>
    <w:rsid w:val="004B2033"/>
    <w:rsid w:val="004F624C"/>
    <w:rsid w:val="00512BDE"/>
    <w:rsid w:val="00527F98"/>
    <w:rsid w:val="0056551A"/>
    <w:rsid w:val="005A2905"/>
    <w:rsid w:val="005A7237"/>
    <w:rsid w:val="005C2682"/>
    <w:rsid w:val="005C450C"/>
    <w:rsid w:val="00656C37"/>
    <w:rsid w:val="006653C9"/>
    <w:rsid w:val="00697AF1"/>
    <w:rsid w:val="006A1A29"/>
    <w:rsid w:val="006F44EE"/>
    <w:rsid w:val="006F64DA"/>
    <w:rsid w:val="00784700"/>
    <w:rsid w:val="007A4D53"/>
    <w:rsid w:val="007F7F97"/>
    <w:rsid w:val="00816205"/>
    <w:rsid w:val="00833121"/>
    <w:rsid w:val="009669AC"/>
    <w:rsid w:val="00A37F39"/>
    <w:rsid w:val="00AE5B40"/>
    <w:rsid w:val="00AE6A17"/>
    <w:rsid w:val="00AF5690"/>
    <w:rsid w:val="00AF6449"/>
    <w:rsid w:val="00B374EB"/>
    <w:rsid w:val="00B60638"/>
    <w:rsid w:val="00BD06E0"/>
    <w:rsid w:val="00BF5F50"/>
    <w:rsid w:val="00D03B14"/>
    <w:rsid w:val="00D24BE0"/>
    <w:rsid w:val="00D4177D"/>
    <w:rsid w:val="00D859CB"/>
    <w:rsid w:val="00DC1040"/>
    <w:rsid w:val="00E625F5"/>
    <w:rsid w:val="00E65D93"/>
    <w:rsid w:val="00E85CD2"/>
    <w:rsid w:val="00EF4FB0"/>
    <w:rsid w:val="00F46CB0"/>
    <w:rsid w:val="00F77AE1"/>
    <w:rsid w:val="00F849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Simple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4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56C37"/>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656C37"/>
    <w:rPr>
      <w:rFonts w:ascii="Times New Roman" w:eastAsia="Times New Roman" w:hAnsi="Times New Roman" w:cs="Times New Roman"/>
      <w:sz w:val="24"/>
      <w:szCs w:val="20"/>
    </w:rPr>
  </w:style>
  <w:style w:type="character" w:styleId="PageNumber">
    <w:name w:val="page number"/>
    <w:basedOn w:val="DefaultParagraphFont"/>
    <w:rsid w:val="00656C37"/>
  </w:style>
  <w:style w:type="paragraph" w:styleId="FootnoteText">
    <w:name w:val="footnote text"/>
    <w:basedOn w:val="Normal"/>
    <w:link w:val="FootnoteTextChar"/>
    <w:semiHidden/>
    <w:rsid w:val="00656C3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656C37"/>
    <w:rPr>
      <w:rFonts w:ascii="Times New Roman" w:eastAsia="Times New Roman" w:hAnsi="Times New Roman" w:cs="Times New Roman"/>
      <w:sz w:val="20"/>
      <w:szCs w:val="20"/>
    </w:rPr>
  </w:style>
  <w:style w:type="character" w:styleId="Hyperlink">
    <w:name w:val="Hyperlink"/>
    <w:basedOn w:val="DefaultParagraphFont"/>
    <w:rsid w:val="00656C37"/>
    <w:rPr>
      <w:u w:val="single"/>
    </w:rPr>
  </w:style>
  <w:style w:type="paragraph" w:customStyle="1" w:styleId="Heading1a">
    <w:name w:val="Heading 1a"/>
    <w:basedOn w:val="Normal"/>
    <w:next w:val="Normal"/>
    <w:rsid w:val="00656C37"/>
    <w:pPr>
      <w:keepNext/>
      <w:keepLines/>
      <w:numPr>
        <w:numId w:val="6"/>
      </w:numPr>
      <w:spacing w:before="1440" w:after="240" w:line="240" w:lineRule="auto"/>
      <w:jc w:val="center"/>
      <w:outlineLvl w:val="0"/>
    </w:pPr>
    <w:rPr>
      <w:rFonts w:ascii="Times New Roman" w:eastAsia="Times New Roman" w:hAnsi="Times New Roman" w:cs="Times New Roman"/>
      <w:b/>
      <w:caps/>
      <w:sz w:val="32"/>
      <w:szCs w:val="24"/>
    </w:rPr>
  </w:style>
  <w:style w:type="paragraph" w:customStyle="1" w:styleId="MainParanoChapter">
    <w:name w:val="Main Para no Chapter #"/>
    <w:basedOn w:val="Normal"/>
    <w:rsid w:val="00656C37"/>
    <w:pPr>
      <w:numPr>
        <w:ilvl w:val="1"/>
        <w:numId w:val="6"/>
      </w:numPr>
      <w:spacing w:after="240" w:line="240" w:lineRule="auto"/>
      <w:outlineLvl w:val="1"/>
    </w:pPr>
    <w:rPr>
      <w:rFonts w:ascii="Times New Roman" w:eastAsia="Times New Roman" w:hAnsi="Times New Roman" w:cs="Times New Roman"/>
      <w:sz w:val="24"/>
      <w:szCs w:val="24"/>
    </w:rPr>
  </w:style>
  <w:style w:type="paragraph" w:customStyle="1" w:styleId="Sub-Para1underX">
    <w:name w:val="Sub-Para 1 under X."/>
    <w:basedOn w:val="Normal"/>
    <w:rsid w:val="00656C37"/>
    <w:pPr>
      <w:numPr>
        <w:ilvl w:val="2"/>
        <w:numId w:val="6"/>
      </w:numPr>
      <w:spacing w:after="240" w:line="240" w:lineRule="auto"/>
      <w:outlineLvl w:val="2"/>
    </w:pPr>
    <w:rPr>
      <w:rFonts w:ascii="Times New Roman" w:eastAsia="Times New Roman" w:hAnsi="Times New Roman" w:cs="Times New Roman"/>
      <w:sz w:val="24"/>
      <w:szCs w:val="24"/>
    </w:rPr>
  </w:style>
  <w:style w:type="paragraph" w:customStyle="1" w:styleId="Sub-Para2underX">
    <w:name w:val="Sub-Para 2 under X."/>
    <w:basedOn w:val="Normal"/>
    <w:rsid w:val="00656C37"/>
    <w:pPr>
      <w:numPr>
        <w:ilvl w:val="3"/>
        <w:numId w:val="6"/>
      </w:numPr>
      <w:spacing w:after="240" w:line="240" w:lineRule="auto"/>
      <w:outlineLvl w:val="3"/>
    </w:pPr>
    <w:rPr>
      <w:rFonts w:ascii="Times New Roman" w:eastAsia="Times New Roman" w:hAnsi="Times New Roman" w:cs="Times New Roman"/>
      <w:sz w:val="24"/>
      <w:szCs w:val="24"/>
    </w:rPr>
  </w:style>
  <w:style w:type="paragraph" w:customStyle="1" w:styleId="Sub-Para3underX">
    <w:name w:val="Sub-Para 3 under X."/>
    <w:basedOn w:val="Normal"/>
    <w:rsid w:val="00656C37"/>
    <w:pPr>
      <w:numPr>
        <w:ilvl w:val="4"/>
        <w:numId w:val="6"/>
      </w:numPr>
      <w:spacing w:after="240" w:line="240" w:lineRule="auto"/>
      <w:outlineLvl w:val="4"/>
    </w:pPr>
    <w:rPr>
      <w:rFonts w:ascii="Times New Roman" w:eastAsia="Times New Roman" w:hAnsi="Times New Roman" w:cs="Times New Roman"/>
      <w:sz w:val="24"/>
      <w:szCs w:val="24"/>
    </w:rPr>
  </w:style>
  <w:style w:type="paragraph" w:customStyle="1" w:styleId="Sub-Para4underX">
    <w:name w:val="Sub-Para 4 under X."/>
    <w:basedOn w:val="Normal"/>
    <w:rsid w:val="00656C37"/>
    <w:pPr>
      <w:numPr>
        <w:ilvl w:val="5"/>
        <w:numId w:val="6"/>
      </w:numPr>
      <w:spacing w:after="240" w:line="240" w:lineRule="auto"/>
      <w:outlineLvl w:val="5"/>
    </w:pPr>
    <w:rPr>
      <w:rFonts w:ascii="Times New Roman" w:eastAsia="Times New Roman" w:hAnsi="Times New Roman" w:cs="Times New Roman"/>
      <w:sz w:val="24"/>
      <w:szCs w:val="24"/>
    </w:rPr>
  </w:style>
  <w:style w:type="table" w:styleId="TableSimple1">
    <w:name w:val="Table Simple 1"/>
    <w:basedOn w:val="TableNormal"/>
    <w:rsid w:val="00656C37"/>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BalloonText">
    <w:name w:val="Balloon Text"/>
    <w:basedOn w:val="Normal"/>
    <w:link w:val="BalloonTextChar"/>
    <w:uiPriority w:val="99"/>
    <w:semiHidden/>
    <w:unhideWhenUsed/>
    <w:rsid w:val="00656C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6C37"/>
    <w:rPr>
      <w:rFonts w:ascii="Tahoma" w:hAnsi="Tahoma" w:cs="Tahoma"/>
      <w:sz w:val="16"/>
      <w:szCs w:val="16"/>
    </w:rPr>
  </w:style>
  <w:style w:type="paragraph" w:styleId="Header">
    <w:name w:val="header"/>
    <w:basedOn w:val="Normal"/>
    <w:link w:val="HeaderChar"/>
    <w:uiPriority w:val="99"/>
    <w:semiHidden/>
    <w:unhideWhenUsed/>
    <w:rsid w:val="00A37F3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37F39"/>
  </w:style>
  <w:style w:type="table" w:styleId="TableGrid">
    <w:name w:val="Table Grid"/>
    <w:basedOn w:val="TableNormal"/>
    <w:uiPriority w:val="59"/>
    <w:rsid w:val="0015498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papers.nber.org/cgi-bin/author_papers.pl?author=soaresyu"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apers.nber.org/cgi-bin/author_papers.pl?author=david_rosa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pers.nber.org/cgi-bin/author_papers.pl?author=ferdinando_regalia" TargetMode="Externa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yperlink" Target="http://papers.nber.org/cgi-bin/author_papers.pl?author=pablo_ibarrara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8230563002680988"/>
          <c:y val="7.1428571428571452E-2"/>
          <c:w val="0.77747989276139506"/>
          <c:h val="0.72142857142857286"/>
        </c:manualLayout>
      </c:layout>
      <c:scatterChart>
        <c:scatterStyle val="smoothMarker"/>
        <c:ser>
          <c:idx val="6"/>
          <c:order val="0"/>
          <c:spPr>
            <a:ln w="18850">
              <a:solidFill>
                <a:srgbClr val="008000"/>
              </a:solidFill>
              <a:prstDash val="lgDash"/>
            </a:ln>
          </c:spPr>
          <c:marker>
            <c:symbol val="none"/>
          </c:marker>
          <c:xVal>
            <c:numRef>
              <c:f>power!$A$134:$A$137</c:f>
              <c:numCache>
                <c:formatCode>General</c:formatCode>
                <c:ptCount val="4"/>
                <c:pt idx="0">
                  <c:v>5</c:v>
                </c:pt>
                <c:pt idx="1">
                  <c:v>10</c:v>
                </c:pt>
                <c:pt idx="2">
                  <c:v>15</c:v>
                </c:pt>
                <c:pt idx="3">
                  <c:v>20</c:v>
                </c:pt>
              </c:numCache>
            </c:numRef>
          </c:xVal>
          <c:yVal>
            <c:numRef>
              <c:f>power!$B$134:$B$137</c:f>
              <c:numCache>
                <c:formatCode>0.0</c:formatCode>
                <c:ptCount val="4"/>
                <c:pt idx="0">
                  <c:v>62.1</c:v>
                </c:pt>
                <c:pt idx="1">
                  <c:v>98.5</c:v>
                </c:pt>
                <c:pt idx="2">
                  <c:v>100</c:v>
                </c:pt>
                <c:pt idx="3">
                  <c:v>100</c:v>
                </c:pt>
              </c:numCache>
            </c:numRef>
          </c:yVal>
          <c:smooth val="1"/>
        </c:ser>
        <c:ser>
          <c:idx val="0"/>
          <c:order val="1"/>
          <c:spPr>
            <a:ln w="18850">
              <a:solidFill>
                <a:srgbClr val="000080"/>
              </a:solidFill>
              <a:prstDash val="solid"/>
            </a:ln>
          </c:spPr>
          <c:marker>
            <c:symbol val="none"/>
          </c:marker>
          <c:xVal>
            <c:numRef>
              <c:f>power!$A$134:$A$137</c:f>
              <c:numCache>
                <c:formatCode>General</c:formatCode>
                <c:ptCount val="4"/>
                <c:pt idx="0">
                  <c:v>5</c:v>
                </c:pt>
                <c:pt idx="1">
                  <c:v>10</c:v>
                </c:pt>
                <c:pt idx="2">
                  <c:v>15</c:v>
                </c:pt>
                <c:pt idx="3">
                  <c:v>20</c:v>
                </c:pt>
              </c:numCache>
            </c:numRef>
          </c:xVal>
          <c:yVal>
            <c:numRef>
              <c:f>power!$C$134:$C$137</c:f>
              <c:numCache>
                <c:formatCode>0.0</c:formatCode>
                <c:ptCount val="4"/>
                <c:pt idx="0">
                  <c:v>55</c:v>
                </c:pt>
                <c:pt idx="1">
                  <c:v>96.3</c:v>
                </c:pt>
                <c:pt idx="2">
                  <c:v>100</c:v>
                </c:pt>
                <c:pt idx="3">
                  <c:v>100</c:v>
                </c:pt>
              </c:numCache>
            </c:numRef>
          </c:yVal>
          <c:smooth val="1"/>
        </c:ser>
        <c:ser>
          <c:idx val="1"/>
          <c:order val="2"/>
          <c:spPr>
            <a:ln w="18850">
              <a:solidFill>
                <a:srgbClr val="FF0000"/>
              </a:solidFill>
              <a:prstDash val="solid"/>
            </a:ln>
          </c:spPr>
          <c:marker>
            <c:symbol val="none"/>
          </c:marker>
          <c:xVal>
            <c:numRef>
              <c:f>power!$A$134:$A$137</c:f>
              <c:numCache>
                <c:formatCode>General</c:formatCode>
                <c:ptCount val="4"/>
                <c:pt idx="0">
                  <c:v>5</c:v>
                </c:pt>
                <c:pt idx="1">
                  <c:v>10</c:v>
                </c:pt>
                <c:pt idx="2">
                  <c:v>15</c:v>
                </c:pt>
                <c:pt idx="3">
                  <c:v>20</c:v>
                </c:pt>
              </c:numCache>
            </c:numRef>
          </c:xVal>
          <c:yVal>
            <c:numRef>
              <c:f>power!$D$134:$D$137</c:f>
              <c:numCache>
                <c:formatCode>0.0</c:formatCode>
                <c:ptCount val="4"/>
                <c:pt idx="0">
                  <c:v>60.3</c:v>
                </c:pt>
                <c:pt idx="1">
                  <c:v>97.9</c:v>
                </c:pt>
                <c:pt idx="2">
                  <c:v>100</c:v>
                </c:pt>
                <c:pt idx="3">
                  <c:v>100</c:v>
                </c:pt>
              </c:numCache>
            </c:numRef>
          </c:yVal>
          <c:smooth val="1"/>
        </c:ser>
        <c:axId val="148817792"/>
        <c:axId val="148859904"/>
      </c:scatterChart>
      <c:valAx>
        <c:axId val="148817792"/>
        <c:scaling>
          <c:orientation val="minMax"/>
        </c:scaling>
        <c:axPos val="b"/>
        <c:title>
          <c:tx>
            <c:rich>
              <a:bodyPr/>
              <a:lstStyle/>
              <a:p>
                <a:pPr>
                  <a:defRPr sz="594" b="1" i="0" u="none" strike="noStrike" baseline="0">
                    <a:solidFill>
                      <a:srgbClr val="000000"/>
                    </a:solidFill>
                    <a:latin typeface="Arial"/>
                    <a:ea typeface="Arial"/>
                    <a:cs typeface="Arial"/>
                  </a:defRPr>
                </a:pPr>
                <a:r>
                  <a:rPr lang="en-US"/>
                  <a:t>true difference</a:t>
                </a:r>
              </a:p>
            </c:rich>
          </c:tx>
          <c:layout>
            <c:manualLayout>
              <c:xMode val="edge"/>
              <c:yMode val="edge"/>
              <c:x val="0.45576407506702432"/>
              <c:y val="0.88928571428571457"/>
            </c:manualLayout>
          </c:layout>
          <c:spPr>
            <a:noFill/>
            <a:ln w="18850">
              <a:noFill/>
            </a:ln>
          </c:spPr>
        </c:title>
        <c:numFmt formatCode="General" sourceLinked="1"/>
        <c:tickLblPos val="nextTo"/>
        <c:spPr>
          <a:ln w="2356">
            <a:solidFill>
              <a:srgbClr val="000000"/>
            </a:solidFill>
            <a:prstDash val="solid"/>
          </a:ln>
        </c:spPr>
        <c:txPr>
          <a:bodyPr rot="0" vert="horz"/>
          <a:lstStyle/>
          <a:p>
            <a:pPr>
              <a:defRPr sz="594" b="1" i="0" u="none" strike="noStrike" baseline="0">
                <a:solidFill>
                  <a:srgbClr val="000000"/>
                </a:solidFill>
                <a:latin typeface="Arial"/>
                <a:ea typeface="Arial"/>
                <a:cs typeface="Arial"/>
              </a:defRPr>
            </a:pPr>
            <a:endParaRPr lang="en-US"/>
          </a:p>
        </c:txPr>
        <c:crossAx val="148859904"/>
        <c:crosses val="autoZero"/>
        <c:crossBetween val="midCat"/>
      </c:valAx>
      <c:valAx>
        <c:axId val="148859904"/>
        <c:scaling>
          <c:orientation val="minMax"/>
          <c:max val="100"/>
          <c:min val="20"/>
        </c:scaling>
        <c:axPos val="l"/>
        <c:majorGridlines>
          <c:spPr>
            <a:ln w="2356">
              <a:solidFill>
                <a:srgbClr val="000000"/>
              </a:solidFill>
              <a:prstDash val="solid"/>
            </a:ln>
          </c:spPr>
        </c:majorGridlines>
        <c:title>
          <c:tx>
            <c:rich>
              <a:bodyPr/>
              <a:lstStyle/>
              <a:p>
                <a:pPr>
                  <a:defRPr sz="594" b="1" i="0" u="none" strike="noStrike" baseline="0">
                    <a:solidFill>
                      <a:srgbClr val="000000"/>
                    </a:solidFill>
                    <a:latin typeface="Arial"/>
                    <a:ea typeface="Arial"/>
                    <a:cs typeface="Arial"/>
                  </a:defRPr>
                </a:pPr>
                <a:r>
                  <a:rPr lang="en-US"/>
                  <a:t>percent correct</a:t>
                </a:r>
              </a:p>
            </c:rich>
          </c:tx>
          <c:layout>
            <c:manualLayout>
              <c:xMode val="edge"/>
              <c:yMode val="edge"/>
              <c:x val="2.6809651474530856E-2"/>
              <c:y val="0.27142857142857196"/>
            </c:manualLayout>
          </c:layout>
          <c:spPr>
            <a:noFill/>
            <a:ln w="18850">
              <a:noFill/>
            </a:ln>
          </c:spPr>
        </c:title>
        <c:numFmt formatCode="0.0" sourceLinked="1"/>
        <c:tickLblPos val="nextTo"/>
        <c:spPr>
          <a:ln w="2356">
            <a:solidFill>
              <a:srgbClr val="000000"/>
            </a:solidFill>
            <a:prstDash val="solid"/>
          </a:ln>
        </c:spPr>
        <c:txPr>
          <a:bodyPr rot="0" vert="horz"/>
          <a:lstStyle/>
          <a:p>
            <a:pPr>
              <a:defRPr sz="594" b="1" i="0" u="none" strike="noStrike" baseline="0">
                <a:solidFill>
                  <a:srgbClr val="000000"/>
                </a:solidFill>
                <a:latin typeface="Arial"/>
                <a:ea typeface="Arial"/>
                <a:cs typeface="Arial"/>
              </a:defRPr>
            </a:pPr>
            <a:endParaRPr lang="en-US"/>
          </a:p>
        </c:txPr>
        <c:crossAx val="148817792"/>
        <c:crosses val="autoZero"/>
        <c:crossBetween val="midCat"/>
        <c:majorUnit val="20"/>
      </c:valAx>
      <c:spPr>
        <a:noFill/>
        <a:ln w="2356">
          <a:solidFill>
            <a:srgbClr val="000000"/>
          </a:solidFill>
          <a:prstDash val="solid"/>
        </a:ln>
      </c:spPr>
    </c:plotArea>
    <c:plotVisOnly val="1"/>
    <c:dispBlanksAs val="gap"/>
  </c:chart>
  <c:spPr>
    <a:solidFill>
      <a:srgbClr val="FFFFFF"/>
    </a:solidFill>
    <a:ln w="2356">
      <a:solidFill>
        <a:srgbClr val="000000"/>
      </a:solidFill>
      <a:prstDash val="solid"/>
    </a:ln>
  </c:spPr>
  <c:txPr>
    <a:bodyPr/>
    <a:lstStyle/>
    <a:p>
      <a:pPr>
        <a:defRPr sz="594" b="1" i="0" u="none" strike="noStrike" baseline="0">
          <a:solidFill>
            <a:srgbClr val="000000"/>
          </a:solidFill>
          <a:latin typeface="Arial"/>
          <a:ea typeface="Arial"/>
          <a:cs typeface="Arial"/>
        </a:defRPr>
      </a:pPr>
      <a:endParaRPr lang="en-US"/>
    </a:p>
  </c:tx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8110236220472442"/>
          <c:y val="7.5000000000000011E-2"/>
          <c:w val="0.77427821522309903"/>
          <c:h val="0.71071428571428552"/>
        </c:manualLayout>
      </c:layout>
      <c:scatterChart>
        <c:scatterStyle val="smoothMarker"/>
        <c:ser>
          <c:idx val="6"/>
          <c:order val="0"/>
          <c:spPr>
            <a:ln w="18903">
              <a:solidFill>
                <a:srgbClr val="008000"/>
              </a:solidFill>
              <a:prstDash val="lgDash"/>
            </a:ln>
          </c:spPr>
          <c:marker>
            <c:symbol val="none"/>
          </c:marker>
          <c:xVal>
            <c:numRef>
              <c:f>power!$A$39:$A$42</c:f>
              <c:numCache>
                <c:formatCode>General</c:formatCode>
                <c:ptCount val="4"/>
                <c:pt idx="0">
                  <c:v>5</c:v>
                </c:pt>
                <c:pt idx="1">
                  <c:v>10</c:v>
                </c:pt>
                <c:pt idx="2">
                  <c:v>15</c:v>
                </c:pt>
                <c:pt idx="3">
                  <c:v>20</c:v>
                </c:pt>
              </c:numCache>
            </c:numRef>
          </c:xVal>
          <c:yVal>
            <c:numRef>
              <c:f>power!$B$39:$B$42</c:f>
              <c:numCache>
                <c:formatCode>0.0</c:formatCode>
                <c:ptCount val="4"/>
                <c:pt idx="0">
                  <c:v>65.8</c:v>
                </c:pt>
                <c:pt idx="1">
                  <c:v>99.1</c:v>
                </c:pt>
                <c:pt idx="2">
                  <c:v>100</c:v>
                </c:pt>
                <c:pt idx="3">
                  <c:v>100</c:v>
                </c:pt>
              </c:numCache>
            </c:numRef>
          </c:yVal>
          <c:smooth val="1"/>
        </c:ser>
        <c:ser>
          <c:idx val="0"/>
          <c:order val="1"/>
          <c:spPr>
            <a:ln w="18903">
              <a:solidFill>
                <a:srgbClr val="000080"/>
              </a:solidFill>
              <a:prstDash val="solid"/>
            </a:ln>
          </c:spPr>
          <c:marker>
            <c:symbol val="none"/>
          </c:marker>
          <c:xVal>
            <c:numRef>
              <c:f>power!$A$39:$A$42</c:f>
              <c:numCache>
                <c:formatCode>General</c:formatCode>
                <c:ptCount val="4"/>
                <c:pt idx="0">
                  <c:v>5</c:v>
                </c:pt>
                <c:pt idx="1">
                  <c:v>10</c:v>
                </c:pt>
                <c:pt idx="2">
                  <c:v>15</c:v>
                </c:pt>
                <c:pt idx="3">
                  <c:v>20</c:v>
                </c:pt>
              </c:numCache>
            </c:numRef>
          </c:xVal>
          <c:yVal>
            <c:numRef>
              <c:f>power!$C$39:$C$42</c:f>
              <c:numCache>
                <c:formatCode>0.0</c:formatCode>
                <c:ptCount val="4"/>
                <c:pt idx="0">
                  <c:v>59.4</c:v>
                </c:pt>
                <c:pt idx="1">
                  <c:v>97.8</c:v>
                </c:pt>
                <c:pt idx="2">
                  <c:v>100</c:v>
                </c:pt>
                <c:pt idx="3">
                  <c:v>100</c:v>
                </c:pt>
              </c:numCache>
            </c:numRef>
          </c:yVal>
          <c:smooth val="1"/>
        </c:ser>
        <c:ser>
          <c:idx val="1"/>
          <c:order val="2"/>
          <c:spPr>
            <a:ln w="18903">
              <a:solidFill>
                <a:srgbClr val="FF0000"/>
              </a:solidFill>
              <a:prstDash val="solid"/>
            </a:ln>
          </c:spPr>
          <c:marker>
            <c:symbol val="none"/>
          </c:marker>
          <c:xVal>
            <c:numRef>
              <c:f>power!$A$39:$A$42</c:f>
              <c:numCache>
                <c:formatCode>General</c:formatCode>
                <c:ptCount val="4"/>
                <c:pt idx="0">
                  <c:v>5</c:v>
                </c:pt>
                <c:pt idx="1">
                  <c:v>10</c:v>
                </c:pt>
                <c:pt idx="2">
                  <c:v>15</c:v>
                </c:pt>
                <c:pt idx="3">
                  <c:v>20</c:v>
                </c:pt>
              </c:numCache>
            </c:numRef>
          </c:xVal>
          <c:yVal>
            <c:numRef>
              <c:f>power!$D$39:$D$42</c:f>
              <c:numCache>
                <c:formatCode>0.0</c:formatCode>
                <c:ptCount val="4"/>
                <c:pt idx="0">
                  <c:v>69.3</c:v>
                </c:pt>
                <c:pt idx="1">
                  <c:v>99.4</c:v>
                </c:pt>
                <c:pt idx="2">
                  <c:v>100</c:v>
                </c:pt>
                <c:pt idx="3">
                  <c:v>100</c:v>
                </c:pt>
              </c:numCache>
            </c:numRef>
          </c:yVal>
          <c:smooth val="1"/>
        </c:ser>
        <c:axId val="151460864"/>
        <c:axId val="151479424"/>
      </c:scatterChart>
      <c:valAx>
        <c:axId val="151460864"/>
        <c:scaling>
          <c:orientation val="minMax"/>
        </c:scaling>
        <c:axPos val="b"/>
        <c:title>
          <c:tx>
            <c:rich>
              <a:bodyPr/>
              <a:lstStyle/>
              <a:p>
                <a:pPr>
                  <a:defRPr sz="595" b="1" i="0" u="none" strike="noStrike" baseline="0">
                    <a:solidFill>
                      <a:srgbClr val="000000"/>
                    </a:solidFill>
                    <a:latin typeface="Arial"/>
                    <a:ea typeface="Arial"/>
                    <a:cs typeface="Arial"/>
                  </a:defRPr>
                </a:pPr>
                <a:r>
                  <a:rPr lang="en-US"/>
                  <a:t>true difference</a:t>
                </a:r>
              </a:p>
            </c:rich>
          </c:tx>
          <c:layout>
            <c:manualLayout>
              <c:xMode val="edge"/>
              <c:yMode val="edge"/>
              <c:x val="0.45406824146981672"/>
              <c:y val="0.88214285714285723"/>
            </c:manualLayout>
          </c:layout>
          <c:spPr>
            <a:noFill/>
            <a:ln w="18903">
              <a:noFill/>
            </a:ln>
          </c:spPr>
        </c:title>
        <c:numFmt formatCode="General" sourceLinked="1"/>
        <c:tickLblPos val="nextTo"/>
        <c:spPr>
          <a:ln w="2363">
            <a:solidFill>
              <a:srgbClr val="000000"/>
            </a:solidFill>
            <a:prstDash val="solid"/>
          </a:ln>
        </c:spPr>
        <c:txPr>
          <a:bodyPr rot="0" vert="horz"/>
          <a:lstStyle/>
          <a:p>
            <a:pPr>
              <a:defRPr sz="595" b="1" i="0" u="none" strike="noStrike" baseline="0">
                <a:solidFill>
                  <a:srgbClr val="000000"/>
                </a:solidFill>
                <a:latin typeface="Arial"/>
                <a:ea typeface="Arial"/>
                <a:cs typeface="Arial"/>
              </a:defRPr>
            </a:pPr>
            <a:endParaRPr lang="en-US"/>
          </a:p>
        </c:txPr>
        <c:crossAx val="151479424"/>
        <c:crosses val="autoZero"/>
        <c:crossBetween val="midCat"/>
      </c:valAx>
      <c:valAx>
        <c:axId val="151479424"/>
        <c:scaling>
          <c:orientation val="minMax"/>
          <c:max val="100"/>
          <c:min val="20"/>
        </c:scaling>
        <c:axPos val="l"/>
        <c:majorGridlines>
          <c:spPr>
            <a:ln w="2363">
              <a:solidFill>
                <a:srgbClr val="000000"/>
              </a:solidFill>
              <a:prstDash val="solid"/>
            </a:ln>
          </c:spPr>
        </c:majorGridlines>
        <c:title>
          <c:tx>
            <c:rich>
              <a:bodyPr/>
              <a:lstStyle/>
              <a:p>
                <a:pPr>
                  <a:defRPr sz="595" b="1" i="0" u="none" strike="noStrike" baseline="0">
                    <a:solidFill>
                      <a:srgbClr val="000000"/>
                    </a:solidFill>
                    <a:latin typeface="Arial"/>
                    <a:ea typeface="Arial"/>
                    <a:cs typeface="Arial"/>
                  </a:defRPr>
                </a:pPr>
                <a:r>
                  <a:rPr lang="en-US"/>
                  <a:t>percent correct</a:t>
                </a:r>
              </a:p>
            </c:rich>
          </c:tx>
          <c:layout>
            <c:manualLayout>
              <c:xMode val="edge"/>
              <c:yMode val="edge"/>
              <c:x val="2.8871391076115568E-2"/>
              <c:y val="0.26785714285714285"/>
            </c:manualLayout>
          </c:layout>
          <c:spPr>
            <a:noFill/>
            <a:ln w="18903">
              <a:noFill/>
            </a:ln>
          </c:spPr>
        </c:title>
        <c:numFmt formatCode="0.0" sourceLinked="1"/>
        <c:tickLblPos val="nextTo"/>
        <c:spPr>
          <a:ln w="2363">
            <a:solidFill>
              <a:srgbClr val="000000"/>
            </a:solidFill>
            <a:prstDash val="solid"/>
          </a:ln>
        </c:spPr>
        <c:txPr>
          <a:bodyPr rot="0" vert="horz"/>
          <a:lstStyle/>
          <a:p>
            <a:pPr>
              <a:defRPr sz="595" b="1" i="0" u="none" strike="noStrike" baseline="0">
                <a:solidFill>
                  <a:srgbClr val="000000"/>
                </a:solidFill>
                <a:latin typeface="Arial"/>
                <a:ea typeface="Arial"/>
                <a:cs typeface="Arial"/>
              </a:defRPr>
            </a:pPr>
            <a:endParaRPr lang="en-US"/>
          </a:p>
        </c:txPr>
        <c:crossAx val="151460864"/>
        <c:crosses val="autoZero"/>
        <c:crossBetween val="midCat"/>
        <c:majorUnit val="20"/>
      </c:valAx>
      <c:spPr>
        <a:noFill/>
        <a:ln w="2363">
          <a:solidFill>
            <a:srgbClr val="000000"/>
          </a:solidFill>
          <a:prstDash val="solid"/>
        </a:ln>
      </c:spPr>
    </c:plotArea>
    <c:plotVisOnly val="1"/>
    <c:dispBlanksAs val="gap"/>
  </c:chart>
  <c:spPr>
    <a:solidFill>
      <a:srgbClr val="FFFFFF"/>
    </a:solidFill>
    <a:ln w="2363">
      <a:solidFill>
        <a:srgbClr val="000000"/>
      </a:solidFill>
      <a:prstDash val="solid"/>
    </a:ln>
  </c:spPr>
  <c:txPr>
    <a:bodyPr/>
    <a:lstStyle/>
    <a:p>
      <a:pPr>
        <a:defRPr sz="595" b="1" i="0" u="none" strike="noStrike" baseline="0">
          <a:solidFill>
            <a:srgbClr val="000000"/>
          </a:solidFill>
          <a:latin typeface="Arial"/>
          <a:ea typeface="Arial"/>
          <a:cs typeface="Arial"/>
        </a:defRPr>
      </a:pPr>
      <a:endParaRPr lang="en-US"/>
    </a:p>
  </c:txPr>
  <c:externalData r:id="rId1"/>
  <c:userShapes r:id="rId2"/>
</c:chartSpace>
</file>

<file path=word/drawings/drawing1.xml><?xml version="1.0" encoding="utf-8"?>
<c:userShapes xmlns:c="http://schemas.openxmlformats.org/drawingml/2006/chart">
  <cdr:relSizeAnchor xmlns:cdr="http://schemas.openxmlformats.org/drawingml/2006/chartDrawing">
    <cdr:from>
      <cdr:x>0.484</cdr:x>
      <cdr:y>0.0695</cdr:y>
    </cdr:from>
    <cdr:to>
      <cdr:x>0.484</cdr:x>
      <cdr:y>0.82025</cdr:y>
    </cdr:to>
    <cdr:sp macro="" textlink="">
      <cdr:nvSpPr>
        <cdr:cNvPr id="61441" name="Line 1"/>
        <cdr:cNvSpPr>
          <a:spLocks xmlns:a="http://schemas.openxmlformats.org/drawingml/2006/main" noChangeShapeType="1"/>
        </cdr:cNvSpPr>
      </cdr:nvSpPr>
      <cdr:spPr bwMode="auto">
        <a:xfrm xmlns:a="http://schemas.openxmlformats.org/drawingml/2006/main" flipV="1">
          <a:off x="1719567" y="185357"/>
          <a:ext cx="0" cy="2002250"/>
        </a:xfrm>
        <a:prstGeom xmlns:a="http://schemas.openxmlformats.org/drawingml/2006/main" prst="line">
          <a:avLst/>
        </a:prstGeom>
        <a:noFill xmlns:a="http://schemas.openxmlformats.org/drawingml/2006/main"/>
        <a:ln xmlns:a="http://schemas.openxmlformats.org/drawingml/2006/main" w="9525">
          <a:solidFill>
            <a:srgbClr val="000000"/>
          </a:solidFill>
          <a:round/>
          <a:headEnd/>
          <a:tailEnd/>
        </a:ln>
      </cdr:spPr>
    </cdr:sp>
  </cdr:relSizeAnchor>
  <cdr:relSizeAnchor xmlns:cdr="http://schemas.openxmlformats.org/drawingml/2006/chartDrawing">
    <cdr:from>
      <cdr:x>0.802</cdr:x>
      <cdr:y>0.0695</cdr:y>
    </cdr:from>
    <cdr:to>
      <cdr:x>0.802</cdr:x>
      <cdr:y>0.82025</cdr:y>
    </cdr:to>
    <cdr:sp macro="" textlink="">
      <cdr:nvSpPr>
        <cdr:cNvPr id="61442" name="Line 2"/>
        <cdr:cNvSpPr>
          <a:spLocks xmlns:a="http://schemas.openxmlformats.org/drawingml/2006/main" noChangeShapeType="1"/>
        </cdr:cNvSpPr>
      </cdr:nvSpPr>
      <cdr:spPr bwMode="auto">
        <a:xfrm xmlns:a="http://schemas.openxmlformats.org/drawingml/2006/main" flipV="1">
          <a:off x="2849366" y="185357"/>
          <a:ext cx="0" cy="2002250"/>
        </a:xfrm>
        <a:prstGeom xmlns:a="http://schemas.openxmlformats.org/drawingml/2006/main" prst="line">
          <a:avLst/>
        </a:prstGeom>
        <a:noFill xmlns:a="http://schemas.openxmlformats.org/drawingml/2006/main"/>
        <a:ln xmlns:a="http://schemas.openxmlformats.org/drawingml/2006/main" w="9525">
          <a:solidFill>
            <a:srgbClr val="000000"/>
          </a:solidFill>
          <a:round/>
          <a:headEnd/>
          <a:tailEnd/>
        </a:ln>
      </cdr:spPr>
    </cdr:sp>
  </cdr:relSizeAnchor>
  <cdr:relSizeAnchor xmlns:cdr="http://schemas.openxmlformats.org/drawingml/2006/chartDrawing">
    <cdr:from>
      <cdr:x>0.19075</cdr:x>
      <cdr:y>0.12975</cdr:y>
    </cdr:from>
    <cdr:to>
      <cdr:x>0.38275</cdr:x>
      <cdr:y>0.27175</cdr:y>
    </cdr:to>
    <cdr:sp macro="" textlink="">
      <cdr:nvSpPr>
        <cdr:cNvPr id="61443" name="Text Box 3"/>
        <cdr:cNvSpPr txBox="1">
          <a:spLocks xmlns:a="http://schemas.openxmlformats.org/drawingml/2006/main" noChangeArrowheads="1"/>
        </cdr:cNvSpPr>
      </cdr:nvSpPr>
      <cdr:spPr bwMode="auto">
        <a:xfrm xmlns:a="http://schemas.openxmlformats.org/drawingml/2006/main">
          <a:off x="677701" y="346043"/>
          <a:ext cx="682143" cy="378714"/>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en-US" sz="800" b="1" i="0" strike="noStrike">
              <a:solidFill>
                <a:srgbClr val="FF0000"/>
              </a:solidFill>
              <a:latin typeface="Arial"/>
              <a:cs typeface="Arial"/>
            </a:rPr>
            <a:t>entrep v. wage</a:t>
          </a:r>
        </a:p>
      </cdr:txBody>
    </cdr:sp>
  </cdr:relSizeAnchor>
  <cdr:relSizeAnchor xmlns:cdr="http://schemas.openxmlformats.org/drawingml/2006/chartDrawing">
    <cdr:from>
      <cdr:x>0.17525</cdr:x>
      <cdr:y>0.271</cdr:y>
    </cdr:from>
    <cdr:to>
      <cdr:x>0.35325</cdr:x>
      <cdr:y>0.414</cdr:y>
    </cdr:to>
    <cdr:sp macro="" textlink="">
      <cdr:nvSpPr>
        <cdr:cNvPr id="61444" name="Text Box 4"/>
        <cdr:cNvSpPr txBox="1">
          <a:spLocks xmlns:a="http://schemas.openxmlformats.org/drawingml/2006/main" noChangeArrowheads="1"/>
        </cdr:cNvSpPr>
      </cdr:nvSpPr>
      <cdr:spPr bwMode="auto">
        <a:xfrm xmlns:a="http://schemas.openxmlformats.org/drawingml/2006/main">
          <a:off x="622633" y="722757"/>
          <a:ext cx="632402" cy="381381"/>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en-US" sz="800" b="1" i="0" strike="noStrike">
              <a:solidFill>
                <a:srgbClr val="008000"/>
              </a:solidFill>
              <a:latin typeface="Arial"/>
              <a:cs typeface="Arial"/>
            </a:rPr>
            <a:t>entrep v control</a:t>
          </a:r>
        </a:p>
      </cdr:txBody>
    </cdr:sp>
  </cdr:relSizeAnchor>
  <cdr:relSizeAnchor xmlns:cdr="http://schemas.openxmlformats.org/drawingml/2006/chartDrawing">
    <cdr:from>
      <cdr:x>0.498</cdr:x>
      <cdr:y>0.12975</cdr:y>
    </cdr:from>
    <cdr:to>
      <cdr:x>0.6885</cdr:x>
      <cdr:y>0.269</cdr:y>
    </cdr:to>
    <cdr:sp macro="" textlink="">
      <cdr:nvSpPr>
        <cdr:cNvPr id="61445" name="Text Box 5"/>
        <cdr:cNvSpPr txBox="1">
          <a:spLocks xmlns:a="http://schemas.openxmlformats.org/drawingml/2006/main" noChangeArrowheads="1"/>
        </cdr:cNvSpPr>
      </cdr:nvSpPr>
      <cdr:spPr bwMode="auto">
        <a:xfrm xmlns:a="http://schemas.openxmlformats.org/drawingml/2006/main">
          <a:off x="1769307" y="346043"/>
          <a:ext cx="676813" cy="37138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en-US" sz="800" b="1" i="0" strike="noStrike">
              <a:solidFill>
                <a:srgbClr val="0000FF"/>
              </a:solidFill>
              <a:latin typeface="Arial"/>
              <a:cs typeface="Arial"/>
            </a:rPr>
            <a:t>wage v control</a:t>
          </a:r>
        </a:p>
      </cdr:txBody>
    </cdr:sp>
  </cdr:relSizeAnchor>
</c:userShapes>
</file>

<file path=word/drawings/drawing2.xml><?xml version="1.0" encoding="utf-8"?>
<c:userShapes xmlns:c="http://schemas.openxmlformats.org/drawingml/2006/chart">
  <cdr:relSizeAnchor xmlns:cdr="http://schemas.openxmlformats.org/drawingml/2006/chartDrawing">
    <cdr:from>
      <cdr:x>0.4875</cdr:x>
      <cdr:y>0.07775</cdr:y>
    </cdr:from>
    <cdr:to>
      <cdr:x>0.4885</cdr:x>
      <cdr:y>0.78575</cdr:y>
    </cdr:to>
    <cdr:sp macro="" textlink="">
      <cdr:nvSpPr>
        <cdr:cNvPr id="59393" name="Line 1"/>
        <cdr:cNvSpPr>
          <a:spLocks xmlns:a="http://schemas.openxmlformats.org/drawingml/2006/main" noChangeShapeType="1"/>
        </cdr:cNvSpPr>
      </cdr:nvSpPr>
      <cdr:spPr bwMode="auto">
        <a:xfrm xmlns:a="http://schemas.openxmlformats.org/drawingml/2006/main" flipH="1" flipV="1">
          <a:off x="1769150" y="207359"/>
          <a:ext cx="3629" cy="1888236"/>
        </a:xfrm>
        <a:prstGeom xmlns:a="http://schemas.openxmlformats.org/drawingml/2006/main" prst="line">
          <a:avLst/>
        </a:prstGeom>
        <a:noFill xmlns:a="http://schemas.openxmlformats.org/drawingml/2006/main"/>
        <a:ln xmlns:a="http://schemas.openxmlformats.org/drawingml/2006/main" w="9525">
          <a:solidFill>
            <a:srgbClr val="000000"/>
          </a:solidFill>
          <a:round/>
          <a:headEnd/>
          <a:tailEnd/>
        </a:ln>
      </cdr:spPr>
    </cdr:sp>
  </cdr:relSizeAnchor>
  <cdr:relSizeAnchor xmlns:cdr="http://schemas.openxmlformats.org/drawingml/2006/chartDrawing">
    <cdr:from>
      <cdr:x>0.80125</cdr:x>
      <cdr:y>0.07775</cdr:y>
    </cdr:from>
    <cdr:to>
      <cdr:x>0.80125</cdr:x>
      <cdr:y>0.78575</cdr:y>
    </cdr:to>
    <cdr:sp macro="" textlink="">
      <cdr:nvSpPr>
        <cdr:cNvPr id="59394" name="Line 2"/>
        <cdr:cNvSpPr>
          <a:spLocks xmlns:a="http://schemas.openxmlformats.org/drawingml/2006/main" noChangeShapeType="1"/>
        </cdr:cNvSpPr>
      </cdr:nvSpPr>
      <cdr:spPr bwMode="auto">
        <a:xfrm xmlns:a="http://schemas.openxmlformats.org/drawingml/2006/main" flipV="1">
          <a:off x="2907756" y="207359"/>
          <a:ext cx="0" cy="1888236"/>
        </a:xfrm>
        <a:prstGeom xmlns:a="http://schemas.openxmlformats.org/drawingml/2006/main" prst="line">
          <a:avLst/>
        </a:prstGeom>
        <a:noFill xmlns:a="http://schemas.openxmlformats.org/drawingml/2006/main"/>
        <a:ln xmlns:a="http://schemas.openxmlformats.org/drawingml/2006/main" w="9525">
          <a:solidFill>
            <a:srgbClr val="000000"/>
          </a:solidFill>
          <a:round/>
          <a:headEnd/>
          <a:tailEnd/>
        </a:ln>
      </cdr:spPr>
    </cdr:sp>
  </cdr:relSizeAnchor>
  <cdr:relSizeAnchor xmlns:cdr="http://schemas.openxmlformats.org/drawingml/2006/chartDrawing">
    <cdr:from>
      <cdr:x>0.20875</cdr:x>
      <cdr:y>0.1105</cdr:y>
    </cdr:from>
    <cdr:to>
      <cdr:x>0.3855</cdr:x>
      <cdr:y>0.247</cdr:y>
    </cdr:to>
    <cdr:sp macro="" textlink="">
      <cdr:nvSpPr>
        <cdr:cNvPr id="59395" name="Text Box 3"/>
        <cdr:cNvSpPr txBox="1">
          <a:spLocks xmlns:a="http://schemas.openxmlformats.org/drawingml/2006/main" noChangeArrowheads="1"/>
        </cdr:cNvSpPr>
      </cdr:nvSpPr>
      <cdr:spPr bwMode="auto">
        <a:xfrm xmlns:a="http://schemas.openxmlformats.org/drawingml/2006/main">
          <a:off x="757559" y="294704"/>
          <a:ext cx="641430" cy="364045"/>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en-US" sz="800" b="1" i="0" strike="noStrike">
              <a:solidFill>
                <a:srgbClr val="FF0000"/>
              </a:solidFill>
              <a:latin typeface="Arial"/>
              <a:cs typeface="Arial"/>
            </a:rPr>
            <a:t>entrep v. wage</a:t>
          </a:r>
        </a:p>
      </cdr:txBody>
    </cdr:sp>
  </cdr:relSizeAnchor>
  <cdr:relSizeAnchor xmlns:cdr="http://schemas.openxmlformats.org/drawingml/2006/chartDrawing">
    <cdr:from>
      <cdr:x>0.2065</cdr:x>
      <cdr:y>0.45675</cdr:y>
    </cdr:from>
    <cdr:to>
      <cdr:x>0.3855</cdr:x>
      <cdr:y>0.5925</cdr:y>
    </cdr:to>
    <cdr:sp macro="" textlink="">
      <cdr:nvSpPr>
        <cdr:cNvPr id="59396" name="Text Box 4"/>
        <cdr:cNvSpPr txBox="1">
          <a:spLocks xmlns:a="http://schemas.openxmlformats.org/drawingml/2006/main" noChangeArrowheads="1"/>
        </cdr:cNvSpPr>
      </cdr:nvSpPr>
      <cdr:spPr bwMode="auto">
        <a:xfrm xmlns:a="http://schemas.openxmlformats.org/drawingml/2006/main">
          <a:off x="749394" y="1218152"/>
          <a:ext cx="649595" cy="362046"/>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en-US" sz="800" b="1" i="0" strike="noStrike">
              <a:solidFill>
                <a:srgbClr val="008000"/>
              </a:solidFill>
              <a:latin typeface="Arial"/>
              <a:cs typeface="Arial"/>
            </a:rPr>
            <a:t>entrep v control</a:t>
          </a:r>
        </a:p>
      </cdr:txBody>
    </cdr:sp>
  </cdr:relSizeAnchor>
  <cdr:relSizeAnchor xmlns:cdr="http://schemas.openxmlformats.org/drawingml/2006/chartDrawing">
    <cdr:from>
      <cdr:x>0.4875</cdr:x>
      <cdr:y>0.12825</cdr:y>
    </cdr:from>
    <cdr:to>
      <cdr:x>0.668</cdr:x>
      <cdr:y>0.26125</cdr:y>
    </cdr:to>
    <cdr:sp macro="" textlink="">
      <cdr:nvSpPr>
        <cdr:cNvPr id="59397" name="Text Box 5"/>
        <cdr:cNvSpPr txBox="1">
          <a:spLocks xmlns:a="http://schemas.openxmlformats.org/drawingml/2006/main" noChangeArrowheads="1"/>
        </cdr:cNvSpPr>
      </cdr:nvSpPr>
      <cdr:spPr bwMode="auto">
        <a:xfrm xmlns:a="http://schemas.openxmlformats.org/drawingml/2006/main">
          <a:off x="1769150" y="342043"/>
          <a:ext cx="655039" cy="354711"/>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en-US" sz="800" b="1" i="0" strike="noStrike">
              <a:solidFill>
                <a:srgbClr val="0000FF"/>
              </a:solidFill>
              <a:latin typeface="Arial"/>
              <a:cs typeface="Arial"/>
            </a:rPr>
            <a:t>wage v control</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FBAF7-F356-4378-99B7-A5B0B130E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3095</Words>
  <Characters>17648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20702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wb347991</dc:creator>
  <cp:lastModifiedBy>wb347991</cp:lastModifiedBy>
  <cp:revision>4</cp:revision>
  <dcterms:created xsi:type="dcterms:W3CDTF">2009-09-20T17:41:00Z</dcterms:created>
  <dcterms:modified xsi:type="dcterms:W3CDTF">2009-09-20T17:43:00Z</dcterms:modified>
</cp:coreProperties>
</file>